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5DAC" w14:textId="77777777" w:rsidR="008707B1" w:rsidRPr="007A1626" w:rsidRDefault="008707B1" w:rsidP="008707B1">
      <w:pPr>
        <w:jc w:val="center"/>
        <w:rPr>
          <w:rFonts w:ascii="Arrus BT" w:hAnsi="Arrus BT" w:cs="Arrus BT"/>
          <w:sz w:val="23"/>
          <w:szCs w:val="23"/>
        </w:rPr>
      </w:pPr>
      <w:bookmarkStart w:id="0" w:name="_GoBack"/>
      <w:bookmarkEnd w:id="0"/>
      <w:r w:rsidRPr="007A1626">
        <w:rPr>
          <w:rFonts w:ascii="Arrus BT" w:hAnsi="Arrus BT" w:cs="Arrus BT"/>
          <w:sz w:val="23"/>
          <w:szCs w:val="23"/>
        </w:rPr>
        <w:t>IN THE UNITED STATES DISTRICT COURT</w:t>
      </w:r>
    </w:p>
    <w:p w14:paraId="6B6D4834" w14:textId="77777777" w:rsidR="008707B1" w:rsidRPr="007A1626" w:rsidRDefault="008707B1" w:rsidP="008707B1">
      <w:pPr>
        <w:jc w:val="center"/>
        <w:rPr>
          <w:rFonts w:ascii="Arrus BT" w:hAnsi="Arrus BT" w:cs="Arrus BT"/>
          <w:sz w:val="23"/>
          <w:szCs w:val="23"/>
        </w:rPr>
      </w:pPr>
      <w:r w:rsidRPr="007A1626">
        <w:rPr>
          <w:rFonts w:ascii="Arrus BT" w:hAnsi="Arrus BT" w:cs="Arrus BT"/>
          <w:sz w:val="23"/>
          <w:szCs w:val="23"/>
        </w:rPr>
        <w:t>FOR THE WESTERN DISTRICT OF WISCONSIN</w:t>
      </w:r>
    </w:p>
    <w:p w14:paraId="5A77DFFC" w14:textId="77777777" w:rsidR="008707B1" w:rsidRPr="007A1626" w:rsidRDefault="008707B1" w:rsidP="008707B1">
      <w:pPr>
        <w:jc w:val="both"/>
        <w:rPr>
          <w:rFonts w:ascii="Arrus BT" w:hAnsi="Arrus BT" w:cs="Arrus BT"/>
          <w:sz w:val="23"/>
          <w:szCs w:val="23"/>
        </w:rPr>
      </w:pPr>
      <w:r>
        <w:rPr>
          <w:noProof/>
          <w:sz w:val="23"/>
          <w:szCs w:val="23"/>
        </w:rPr>
        <mc:AlternateContent>
          <mc:Choice Requires="wps">
            <w:drawing>
              <wp:anchor distT="4294967295" distB="4294967295" distL="114299" distR="114299" simplePos="0" relativeHeight="251659264" behindDoc="0" locked="0" layoutInCell="0" allowOverlap="1" wp14:anchorId="7C5B80EB" wp14:editId="5D6DAF2E">
                <wp:simplePos x="0" y="0"/>
                <wp:positionH relativeFrom="margi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4F7CD"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sz w:val="23"/>
          <w:szCs w:val="23"/>
        </w:rPr>
        <mc:AlternateContent>
          <mc:Choice Requires="wps">
            <w:drawing>
              <wp:anchor distT="4294967295" distB="4294967295" distL="114300" distR="114300" simplePos="0" relativeHeight="251660288" behindDoc="0" locked="0" layoutInCell="0" allowOverlap="1" wp14:anchorId="53E662A2" wp14:editId="4862C268">
                <wp:simplePos x="0" y="0"/>
                <wp:positionH relativeFrom="margin">
                  <wp:posOffset>0</wp:posOffset>
                </wp:positionH>
                <wp:positionV relativeFrom="paragraph">
                  <wp:posOffset>5714</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95C6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14:paraId="43D8B25E" w14:textId="77777777" w:rsidR="00F65EB2" w:rsidRDefault="00F65EB2" w:rsidP="008707B1">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rus BT" w:hAnsi="Arrus BT" w:cs="Arrus BT"/>
          <w:sz w:val="23"/>
          <w:szCs w:val="23"/>
        </w:rPr>
      </w:pPr>
      <w:r>
        <w:rPr>
          <w:rFonts w:ascii="Arrus BT" w:hAnsi="Arrus BT" w:cs="Arrus BT"/>
          <w:sz w:val="23"/>
          <w:szCs w:val="23"/>
        </w:rPr>
        <w:t>MARTHA HERNANDEZ AND YOLANDA</w:t>
      </w:r>
    </w:p>
    <w:p w14:paraId="6B3FA899" w14:textId="77777777" w:rsidR="008707B1" w:rsidRPr="007A1626" w:rsidRDefault="00F65EB2" w:rsidP="008707B1">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rus BT" w:hAnsi="Arrus BT" w:cs="Arrus BT"/>
          <w:sz w:val="23"/>
          <w:szCs w:val="23"/>
        </w:rPr>
      </w:pPr>
      <w:r>
        <w:rPr>
          <w:rFonts w:ascii="Arrus BT" w:hAnsi="Arrus BT" w:cs="Arrus BT"/>
          <w:sz w:val="23"/>
          <w:szCs w:val="23"/>
        </w:rPr>
        <w:t>COLE</w:t>
      </w:r>
      <w:r w:rsidR="00172781">
        <w:rPr>
          <w:rFonts w:ascii="Arrus BT" w:hAnsi="Arrus BT" w:cs="Arrus BT"/>
          <w:sz w:val="23"/>
          <w:szCs w:val="23"/>
        </w:rPr>
        <w:t>,</w:t>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t>   </w:t>
      </w:r>
    </w:p>
    <w:p w14:paraId="0433D75E"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p>
    <w:p w14:paraId="53D9E646" w14:textId="77777777" w:rsidR="008707B1" w:rsidRPr="007A1626" w:rsidRDefault="008707B1" w:rsidP="008707B1">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Plaintiff</w:t>
      </w:r>
      <w:r w:rsidR="00571EA6">
        <w:rPr>
          <w:rFonts w:ascii="Arrus BT" w:hAnsi="Arrus BT" w:cs="Arrus BT"/>
          <w:sz w:val="23"/>
          <w:szCs w:val="23"/>
        </w:rPr>
        <w:t>s</w:t>
      </w:r>
      <w:r w:rsidRPr="007A1626">
        <w:rPr>
          <w:rFonts w:ascii="Arrus BT" w:hAnsi="Arrus BT" w:cs="Arrus BT"/>
          <w:sz w:val="23"/>
          <w:szCs w:val="23"/>
        </w:rPr>
        <w:t>,</w:t>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00107E3E">
        <w:rPr>
          <w:rFonts w:ascii="Arrus BT" w:hAnsi="Arrus BT" w:cs="Arrus BT"/>
          <w:sz w:val="23"/>
          <w:szCs w:val="23"/>
        </w:rPr>
        <w:t xml:space="preserve">           </w:t>
      </w:r>
      <w:r w:rsidRPr="007A1626">
        <w:rPr>
          <w:rFonts w:ascii="Arrus BT" w:hAnsi="Arrus BT" w:cs="Arrus BT"/>
          <w:sz w:val="23"/>
          <w:szCs w:val="23"/>
        </w:rPr>
        <w:t>ORDER</w:t>
      </w:r>
    </w:p>
    <w:p w14:paraId="6963DCF3"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t>v.</w:t>
      </w:r>
    </w:p>
    <w:p w14:paraId="37204818"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 xml:space="preserve">        </w:t>
      </w:r>
      <w:r w:rsidR="00571EA6">
        <w:rPr>
          <w:rFonts w:ascii="Arrus BT" w:hAnsi="Arrus BT" w:cs="Arrus BT"/>
          <w:sz w:val="23"/>
          <w:szCs w:val="23"/>
        </w:rPr>
        <w:t>1</w:t>
      </w:r>
      <w:r w:rsidR="00F65EB2">
        <w:rPr>
          <w:rFonts w:ascii="Arrus BT" w:hAnsi="Arrus BT" w:cs="Arrus BT"/>
          <w:sz w:val="23"/>
          <w:szCs w:val="23"/>
        </w:rPr>
        <w:t>9</w:t>
      </w:r>
      <w:r w:rsidRPr="007A1626">
        <w:rPr>
          <w:rFonts w:ascii="Arrus BT" w:hAnsi="Arrus BT" w:cs="Arrus BT"/>
          <w:sz w:val="23"/>
          <w:szCs w:val="23"/>
        </w:rPr>
        <w:t>-cv-</w:t>
      </w:r>
      <w:r w:rsidR="00F65EB2">
        <w:rPr>
          <w:rFonts w:ascii="Arrus BT" w:hAnsi="Arrus BT" w:cs="Arrus BT"/>
          <w:sz w:val="23"/>
          <w:szCs w:val="23"/>
        </w:rPr>
        <w:t>356</w:t>
      </w:r>
      <w:r w:rsidRPr="007A1626">
        <w:rPr>
          <w:rFonts w:ascii="Arrus BT" w:hAnsi="Arrus BT" w:cs="Arrus BT"/>
          <w:sz w:val="23"/>
          <w:szCs w:val="23"/>
        </w:rPr>
        <w:t>-wmc</w:t>
      </w:r>
    </w:p>
    <w:p w14:paraId="6C7A972F" w14:textId="77777777" w:rsidR="00F65EB2" w:rsidRDefault="00F65EB2" w:rsidP="008707B1">
      <w:pPr>
        <w:jc w:val="both"/>
        <w:rPr>
          <w:rFonts w:ascii="Arrus BT" w:hAnsi="Arrus BT" w:cs="Arrus BT"/>
          <w:sz w:val="23"/>
          <w:szCs w:val="23"/>
        </w:rPr>
      </w:pPr>
      <w:r>
        <w:rPr>
          <w:rFonts w:ascii="Arrus BT" w:hAnsi="Arrus BT" w:cs="Arrus BT"/>
          <w:sz w:val="23"/>
          <w:szCs w:val="23"/>
        </w:rPr>
        <w:t>CAMEO INVESTMENTS, LLC, and CAMEO</w:t>
      </w:r>
    </w:p>
    <w:p w14:paraId="3606D771" w14:textId="77777777" w:rsidR="00F65EB2" w:rsidRDefault="00F65EB2" w:rsidP="008707B1">
      <w:pPr>
        <w:jc w:val="both"/>
        <w:rPr>
          <w:rFonts w:ascii="Arrus BT" w:hAnsi="Arrus BT" w:cs="Arrus BT"/>
          <w:sz w:val="23"/>
          <w:szCs w:val="23"/>
        </w:rPr>
      </w:pPr>
      <w:r>
        <w:rPr>
          <w:rFonts w:ascii="Arrus BT" w:hAnsi="Arrus BT" w:cs="Arrus BT"/>
          <w:sz w:val="23"/>
          <w:szCs w:val="23"/>
        </w:rPr>
        <w:t xml:space="preserve">INVESTMENTS II, LLC, both doing </w:t>
      </w:r>
    </w:p>
    <w:p w14:paraId="3F83DD26" w14:textId="77777777" w:rsidR="00174CF8" w:rsidRPr="007A1626" w:rsidRDefault="00F65EB2" w:rsidP="008707B1">
      <w:pPr>
        <w:jc w:val="both"/>
        <w:rPr>
          <w:rFonts w:ascii="Arrus BT" w:hAnsi="Arrus BT" w:cs="Arrus BT"/>
          <w:sz w:val="23"/>
          <w:szCs w:val="23"/>
        </w:rPr>
      </w:pPr>
      <w:r>
        <w:rPr>
          <w:rFonts w:ascii="Arrus BT" w:hAnsi="Arrus BT" w:cs="Arrus BT"/>
          <w:sz w:val="23"/>
          <w:szCs w:val="23"/>
        </w:rPr>
        <w:t>business as Centerfolds Cabaret,</w:t>
      </w:r>
    </w:p>
    <w:p w14:paraId="40C7BF24" w14:textId="77777777" w:rsidR="008707B1" w:rsidRPr="007A1626" w:rsidRDefault="008707B1" w:rsidP="008707B1">
      <w:pPr>
        <w:spacing w:line="192" w:lineRule="auto"/>
        <w:jc w:val="both"/>
        <w:rPr>
          <w:rFonts w:ascii="Arrus BT" w:hAnsi="Arrus BT" w:cs="Arrus BT"/>
          <w:sz w:val="23"/>
          <w:szCs w:val="23"/>
        </w:rPr>
      </w:pPr>
    </w:p>
    <w:p w14:paraId="49FC94BB" w14:textId="77777777" w:rsidR="008707B1" w:rsidRPr="007A1626" w:rsidRDefault="008707B1" w:rsidP="008707B1">
      <w:pPr>
        <w:spacing w:line="192" w:lineRule="auto"/>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Defendant</w:t>
      </w:r>
      <w:r w:rsidR="00174CF8">
        <w:rPr>
          <w:rFonts w:ascii="Arrus BT" w:hAnsi="Arrus BT" w:cs="Arrus BT"/>
          <w:sz w:val="23"/>
          <w:szCs w:val="23"/>
        </w:rPr>
        <w:t>s</w:t>
      </w:r>
      <w:r w:rsidRPr="007A1626">
        <w:rPr>
          <w:rFonts w:ascii="Arrus BT" w:hAnsi="Arrus BT" w:cs="Arrus BT"/>
          <w:sz w:val="23"/>
          <w:szCs w:val="23"/>
        </w:rPr>
        <w:t>.</w:t>
      </w:r>
    </w:p>
    <w:p w14:paraId="79E29CCD" w14:textId="77777777" w:rsidR="008707B1" w:rsidRPr="007A1626" w:rsidRDefault="008707B1" w:rsidP="008707B1">
      <w:pPr>
        <w:spacing w:line="192" w:lineRule="auto"/>
        <w:jc w:val="both"/>
        <w:rPr>
          <w:rFonts w:ascii="Arrus BT" w:hAnsi="Arrus BT" w:cs="Arrus BT"/>
          <w:sz w:val="23"/>
          <w:szCs w:val="23"/>
        </w:rPr>
      </w:pPr>
    </w:p>
    <w:p w14:paraId="05A660A2" w14:textId="77777777" w:rsidR="00F65EB2" w:rsidRDefault="008707B1" w:rsidP="008A407C">
      <w:pPr>
        <w:pStyle w:val="DoubleIndent"/>
        <w:spacing w:before="240"/>
        <w:rPr>
          <w:rFonts w:cs="Arrus BT"/>
        </w:rPr>
      </w:pPr>
      <w:r>
        <w:rPr>
          <w:noProof/>
        </w:rPr>
        <mc:AlternateContent>
          <mc:Choice Requires="wps">
            <w:drawing>
              <wp:anchor distT="4294967295" distB="4294967295" distL="114299" distR="114299" simplePos="0" relativeHeight="251661312" behindDoc="0" locked="0" layoutInCell="0" allowOverlap="1" wp14:anchorId="0FC8FCA8" wp14:editId="2C916996">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13E95" id="Straight Connector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4294967295" distB="4294967295" distL="114300" distR="114300" simplePos="0" relativeHeight="251662336" behindDoc="0" locked="0" layoutInCell="0" allowOverlap="1" wp14:anchorId="618C6DF1" wp14:editId="63629735">
                <wp:simplePos x="0" y="0"/>
                <wp:positionH relativeFrom="margin">
                  <wp:posOffset>0</wp:posOffset>
                </wp:positionH>
                <wp:positionV relativeFrom="paragraph">
                  <wp:posOffset>5714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6259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r w:rsidR="00174CF8">
        <w:rPr>
          <w:rFonts w:cs="Arrus BT"/>
        </w:rPr>
        <w:t xml:space="preserve">In their complaint, plaintiffs </w:t>
      </w:r>
      <w:r w:rsidR="00F65EB2">
        <w:rPr>
          <w:rFonts w:cs="Arrus BT"/>
        </w:rPr>
        <w:t>Martha Hernandez and Yolanda Cole</w:t>
      </w:r>
      <w:r w:rsidR="00174CF8">
        <w:rPr>
          <w:rFonts w:cs="Arrus BT"/>
        </w:rPr>
        <w:t xml:space="preserve"> assert claims on behalf of themselves and similarly situated employees for violations of the </w:t>
      </w:r>
      <w:r w:rsidR="00C84B0F">
        <w:rPr>
          <w:rFonts w:cs="Arrus BT"/>
        </w:rPr>
        <w:t xml:space="preserve">Fair Labor Standards Act, 29 U.S.C. § 201 </w:t>
      </w:r>
      <w:r w:rsidR="00C84B0F">
        <w:rPr>
          <w:rFonts w:cs="Arrus BT"/>
          <w:i/>
        </w:rPr>
        <w:t>et seq.</w:t>
      </w:r>
      <w:r w:rsidR="00426B80">
        <w:rPr>
          <w:rFonts w:cs="Arrus BT"/>
        </w:rPr>
        <w:t>,</w:t>
      </w:r>
      <w:r w:rsidR="00C84B0F">
        <w:rPr>
          <w:rFonts w:cs="Arrus BT"/>
        </w:rPr>
        <w:t xml:space="preserve"> </w:t>
      </w:r>
      <w:r w:rsidR="00F65EB2">
        <w:rPr>
          <w:rFonts w:cs="Arrus BT"/>
        </w:rPr>
        <w:t xml:space="preserve">and Wisconsin state law </w:t>
      </w:r>
      <w:r w:rsidR="00C84B0F">
        <w:rPr>
          <w:rFonts w:cs="Arrus BT"/>
        </w:rPr>
        <w:t xml:space="preserve">against </w:t>
      </w:r>
      <w:r w:rsidR="00D60630">
        <w:rPr>
          <w:rFonts w:cs="Arrus BT"/>
        </w:rPr>
        <w:t>defendant</w:t>
      </w:r>
      <w:r w:rsidR="00F65EB2">
        <w:rPr>
          <w:rFonts w:cs="Arrus BT"/>
        </w:rPr>
        <w:t>s</w:t>
      </w:r>
      <w:r w:rsidR="00D60630">
        <w:rPr>
          <w:rFonts w:cs="Arrus BT"/>
        </w:rPr>
        <w:t xml:space="preserve"> </w:t>
      </w:r>
      <w:r w:rsidR="00F65EB2">
        <w:rPr>
          <w:rFonts w:cs="Arrus BT"/>
        </w:rPr>
        <w:t>Cameo Investments, LLC, Cameo Investments II, LLC, which both operate under the business Centerfolds Cabaret</w:t>
      </w:r>
      <w:r w:rsidR="00D60630">
        <w:rPr>
          <w:rFonts w:cs="Arrus BT"/>
        </w:rPr>
        <w:t>.</w:t>
      </w:r>
      <w:r w:rsidR="00F65EB2">
        <w:rPr>
          <w:rStyle w:val="FootnoteReference"/>
          <w:rFonts w:cs="Arrus BT"/>
        </w:rPr>
        <w:footnoteReference w:id="1"/>
      </w:r>
      <w:r w:rsidR="00C84B0F">
        <w:rPr>
          <w:rFonts w:cs="Arrus BT"/>
        </w:rPr>
        <w:t xml:space="preserve">  </w:t>
      </w:r>
      <w:r w:rsidR="00BC4368">
        <w:rPr>
          <w:rFonts w:cs="Arrus BT"/>
        </w:rPr>
        <w:t xml:space="preserve">Specifically, plaintiffs allege that defendants failed to pay them </w:t>
      </w:r>
      <w:r w:rsidR="00F65EB2">
        <w:rPr>
          <w:rFonts w:cs="Arrus BT"/>
        </w:rPr>
        <w:t>minimum wage as required under the FLSA and Wisconsin law and also fined them in violation of Wisconsin law</w:t>
      </w:r>
      <w:r w:rsidR="00BC4368">
        <w:rPr>
          <w:rFonts w:cs="Arrus BT"/>
        </w:rPr>
        <w:t xml:space="preserve">.  </w:t>
      </w:r>
      <w:r w:rsidR="00F65EB2">
        <w:rPr>
          <w:rFonts w:cs="Arrus BT"/>
        </w:rPr>
        <w:t>(Compl. (dkt. #1).)</w:t>
      </w:r>
      <w:r w:rsidR="00F65EB2">
        <w:rPr>
          <w:rStyle w:val="FootnoteReference"/>
          <w:rFonts w:cs="Arrus BT"/>
        </w:rPr>
        <w:footnoteReference w:id="2"/>
      </w:r>
      <w:r w:rsidR="00F65EB2">
        <w:rPr>
          <w:rFonts w:cs="Arrus BT"/>
        </w:rPr>
        <w:t xml:space="preserve">  After defendants answered and filed a counterclaim but before the court even held a preliminary pretrial conference, the parties reached a settlement.  Before the court is the parties’ joint motion for settlement.  (Dkt. #20.)</w:t>
      </w:r>
    </w:p>
    <w:p w14:paraId="5AD5D994" w14:textId="77777777" w:rsidR="00A5080C" w:rsidRDefault="00F65EB2" w:rsidP="00397C36">
      <w:pPr>
        <w:pStyle w:val="DoubleIndent"/>
        <w:spacing w:before="240"/>
        <w:rPr>
          <w:rFonts w:cs="Arrus BT"/>
        </w:rPr>
      </w:pPr>
      <w:r>
        <w:rPr>
          <w:rFonts w:cs="Arrus BT"/>
        </w:rPr>
        <w:t xml:space="preserve">The settlement only concerns the claims brought by the two individual plaintiffs, </w:t>
      </w:r>
      <w:r>
        <w:rPr>
          <w:rFonts w:cs="Arrus BT"/>
        </w:rPr>
        <w:lastRenderedPageBreak/>
        <w:t>and does not involve any FLSA collective action or Rule 23 class claims.  The settlement agreement releases all claims</w:t>
      </w:r>
      <w:r w:rsidR="00452C81">
        <w:rPr>
          <w:rFonts w:cs="Arrus BT"/>
        </w:rPr>
        <w:t>,</w:t>
      </w:r>
      <w:r>
        <w:rPr>
          <w:rFonts w:cs="Arrus BT"/>
        </w:rPr>
        <w:t xml:space="preserve"> and the parties seek dismissal of the entire action with prejudice.  </w:t>
      </w:r>
      <w:r w:rsidR="00397C36">
        <w:rPr>
          <w:rFonts w:cs="Arrus BT"/>
        </w:rPr>
        <w:t xml:space="preserve">Still, because the settlement involves FLSA claims, the parties seek court approval.  </w:t>
      </w:r>
    </w:p>
    <w:p w14:paraId="5908DB7B" w14:textId="77777777" w:rsidR="00107E3E" w:rsidRPr="00B37E2F" w:rsidRDefault="00D06727" w:rsidP="00107E3E">
      <w:pPr>
        <w:pStyle w:val="DoubleIndent"/>
        <w:spacing w:before="240"/>
      </w:pPr>
      <w:r>
        <w:t>To avoid a challenge to the validity of a settlement of FLSA claims, either approval by a court o</w:t>
      </w:r>
      <w:r w:rsidR="004F32BD">
        <w:t>r</w:t>
      </w:r>
      <w:r>
        <w:t xml:space="preserve"> the Department of Labor is required.  </w:t>
      </w:r>
      <w:r>
        <w:rPr>
          <w:i/>
        </w:rPr>
        <w:t xml:space="preserve">See </w:t>
      </w:r>
      <w:r w:rsidRPr="00D06727">
        <w:rPr>
          <w:i/>
        </w:rPr>
        <w:t>Walton v. United Consumers Club</w:t>
      </w:r>
      <w:r w:rsidRPr="00107E3E">
        <w:t>, 786 F.2d 303, 306 (7th Cir. 1986) (</w:t>
      </w:r>
      <w:r>
        <w:t>“[T]he Fair Labor Standards Act is designed to prevent consenting adults from transaction about minimum wages and overtime pay.  Once the Act makes it impossible to agree on the amount of pay, it is necessary to ban private settlements of disputes about pay.  Otherwise the parties’ ability to settle disputes would allow them to establish sub-minimum wages.”</w:t>
      </w:r>
      <w:r w:rsidRPr="00107E3E">
        <w:t>).</w:t>
      </w:r>
      <w:r>
        <w:t xml:space="preserve">  In approving a settlement, the court must determine whether the settlement’s </w:t>
      </w:r>
      <w:r w:rsidRPr="00107E3E">
        <w:t>terms and conditions represent “a fair and reasonable resolution of a bona fide dispute over FLSA provisions” and reflect a “compromise of disputed issues [rather] than a mere waiver of statutory rights brought about by an employer</w:t>
      </w:r>
      <w:r>
        <w:t>’</w:t>
      </w:r>
      <w:r w:rsidRPr="00107E3E">
        <w:t>s overreaching</w:t>
      </w:r>
      <w:r>
        <w:t xml:space="preserve">.”  </w:t>
      </w:r>
      <w:r w:rsidR="00107E3E" w:rsidRPr="00D06727">
        <w:rPr>
          <w:i/>
        </w:rPr>
        <w:t>Lynn’s Food Stores, Inc. v. U.S. Dept. of Labor</w:t>
      </w:r>
      <w:r w:rsidR="00107E3E" w:rsidRPr="00107E3E">
        <w:t>, 679 F.2d 1350, 1354-55 (11th Cir. 1982)</w:t>
      </w:r>
      <w:r>
        <w:t>.</w:t>
      </w:r>
      <w:r w:rsidR="00107E3E" w:rsidRPr="00107E3E">
        <w:t xml:space="preserve"> </w:t>
      </w:r>
      <w:r>
        <w:t xml:space="preserve"> </w:t>
      </w:r>
    </w:p>
    <w:p w14:paraId="43D8D9EC" w14:textId="77777777" w:rsidR="00A5080C" w:rsidRPr="00330460" w:rsidRDefault="00A5080C" w:rsidP="00397C36">
      <w:pPr>
        <w:pStyle w:val="DoubleIndent"/>
        <w:spacing w:before="240"/>
      </w:pPr>
      <w:r>
        <w:t>As set forth in the joint motion</w:t>
      </w:r>
      <w:r w:rsidR="00397C36">
        <w:t xml:space="preserve"> and in the attached settlement agreement</w:t>
      </w:r>
      <w:r>
        <w:t xml:space="preserve">, </w:t>
      </w:r>
      <w:r w:rsidR="00397C36">
        <w:rPr>
          <w:rFonts w:cs="Arrus BT"/>
        </w:rPr>
        <w:t xml:space="preserve">defendants have agreed to pay a total of $10,000, with $2,500 to plaintiff Hernandez; $1,000 to plaintiff Cole; and $6,500 to plaintiffs’ counsel for fees and costs.  The parties disagree as to whether plaintiffs are or were ever “employees” under the FLSA; whether they ever performed at defendants’ exotic dance club at any time during the three-year statutory period; and whether the moneys plaintiffs received from defendants’ customers </w:t>
      </w:r>
      <w:r w:rsidR="00397C36">
        <w:rPr>
          <w:rFonts w:cs="Arrus BT"/>
        </w:rPr>
        <w:lastRenderedPageBreak/>
        <w:t xml:space="preserve">met or exceeded the minimum wage obligations.  After exchanging discovery, the parties agree that defendants’ records show that plaintiffs performed, at most, a </w:t>
      </w:r>
      <w:r w:rsidR="00397C36" w:rsidRPr="0012248F">
        <w:rPr>
          <w:rFonts w:cs="Arrus BT"/>
          <w:i/>
        </w:rPr>
        <w:t>de minim</w:t>
      </w:r>
      <w:r w:rsidR="00DF2E2E">
        <w:rPr>
          <w:rFonts w:cs="Arrus BT"/>
          <w:i/>
        </w:rPr>
        <w:t>i</w:t>
      </w:r>
      <w:r w:rsidR="0012248F" w:rsidRPr="0012248F">
        <w:rPr>
          <w:rFonts w:cs="Arrus BT"/>
          <w:i/>
        </w:rPr>
        <w:t>s</w:t>
      </w:r>
      <w:r w:rsidR="00397C36">
        <w:rPr>
          <w:rFonts w:cs="Arrus BT"/>
        </w:rPr>
        <w:t xml:space="preserve"> number of shifts during the FLSA recovery period, though plaintiffs identified potential witnesses to challenge those records.  Regardless, it appears that there </w:t>
      </w:r>
      <w:r w:rsidR="0012248F">
        <w:rPr>
          <w:rFonts w:cs="Arrus BT"/>
        </w:rPr>
        <w:t>are</w:t>
      </w:r>
      <w:r w:rsidR="00397C36">
        <w:rPr>
          <w:rFonts w:cs="Arrus BT"/>
        </w:rPr>
        <w:t xml:space="preserve"> serious questions as to whether plaintiffs qualified as employees under the FLSA, and, if so, whether they would be able to demonstrate any significant damages.  </w:t>
      </w:r>
      <w:r w:rsidR="004B1A8E">
        <w:t xml:space="preserve">In light of these substantial questions, the court agrees with the parties </w:t>
      </w:r>
      <w:r w:rsidR="00397C36">
        <w:t>that the $2,500 payment to Hernandez and $1,000 payment to Cole</w:t>
      </w:r>
      <w:r w:rsidR="004B1A8E">
        <w:t xml:space="preserve"> represents </w:t>
      </w:r>
      <w:r w:rsidR="004B1A8E" w:rsidRPr="00107E3E">
        <w:t>“a fair and reasonable resolution of a bona fide dispute over FLSA provisions” and reflect</w:t>
      </w:r>
      <w:r w:rsidR="004B1A8E">
        <w:t>s</w:t>
      </w:r>
      <w:r w:rsidR="004B1A8E" w:rsidRPr="00107E3E">
        <w:t xml:space="preserve"> a “compromise of disputed issues</w:t>
      </w:r>
      <w:r w:rsidR="004B1A8E">
        <w:t xml:space="preserve">.”  </w:t>
      </w:r>
      <w:r w:rsidR="004B1A8E" w:rsidRPr="00D06727">
        <w:rPr>
          <w:i/>
        </w:rPr>
        <w:t>Lynn’s Food Stores</w:t>
      </w:r>
      <w:r w:rsidR="004B1A8E" w:rsidRPr="00107E3E">
        <w:t xml:space="preserve">, 679 F.2d </w:t>
      </w:r>
      <w:r w:rsidR="004B1A8E">
        <w:t>at</w:t>
      </w:r>
      <w:r w:rsidR="004B1A8E" w:rsidRPr="00107E3E">
        <w:t xml:space="preserve"> 1354-55</w:t>
      </w:r>
      <w:r w:rsidR="00330460">
        <w:t>.</w:t>
      </w:r>
    </w:p>
    <w:p w14:paraId="712CFD36" w14:textId="77777777" w:rsidR="004B1A8E" w:rsidRPr="004B1A8E" w:rsidRDefault="00397C36" w:rsidP="00BD7A38">
      <w:pPr>
        <w:pStyle w:val="DoubleIndent"/>
        <w:spacing w:before="240"/>
      </w:pPr>
      <w:r>
        <w:t xml:space="preserve">The settlement agreement also encompasses payment of $6,500 in attorneys’ fees and costs.  While the court would normally be troubled by a settlement agreement where 65% of the fund is allocated for attorneys’ fees and costs, here, the amount of money is so small, that this concern is lessened.  Given the time counsel spent in drafting the complaint, reviewing discovery, negotiating a settlement and seeking approval, the court concludes that the amount of negotiated fees is also fair and reasonable, especially in light of the limited value of plaintiffs’ individual claims.  </w:t>
      </w:r>
      <w:r w:rsidR="004B1A8E">
        <w:t xml:space="preserve">  </w:t>
      </w:r>
    </w:p>
    <w:p w14:paraId="65FAEF96" w14:textId="77777777" w:rsidR="00452C81" w:rsidRDefault="00452C81">
      <w:pPr>
        <w:widowControl/>
        <w:autoSpaceDE/>
        <w:autoSpaceDN/>
        <w:adjustRightInd/>
        <w:spacing w:after="160" w:line="259" w:lineRule="auto"/>
        <w:rPr>
          <w:rFonts w:ascii="Arrus BT" w:hAnsi="Arrus BT"/>
          <w:sz w:val="23"/>
        </w:rPr>
      </w:pPr>
      <w:r>
        <w:br w:type="page"/>
      </w:r>
    </w:p>
    <w:p w14:paraId="66C627C7" w14:textId="77777777" w:rsidR="004B1A8E" w:rsidRDefault="00107E3E" w:rsidP="00BD7A38">
      <w:pPr>
        <w:pStyle w:val="DoubleIndent"/>
        <w:spacing w:before="240"/>
      </w:pPr>
      <w:r>
        <w:lastRenderedPageBreak/>
        <w:t xml:space="preserve">Accordingly, </w:t>
      </w:r>
      <w:r w:rsidR="008707B1">
        <w:t>IT IS ORDERED that</w:t>
      </w:r>
      <w:r w:rsidR="004B1A8E">
        <w:t>:</w:t>
      </w:r>
    </w:p>
    <w:p w14:paraId="5AF0F8C6" w14:textId="77777777" w:rsidR="008707B1" w:rsidRDefault="00330460" w:rsidP="00330460">
      <w:pPr>
        <w:pStyle w:val="DoubleIndent"/>
        <w:numPr>
          <w:ilvl w:val="0"/>
          <w:numId w:val="25"/>
        </w:numPr>
        <w:spacing w:after="240" w:line="240" w:lineRule="auto"/>
        <w:contextualSpacing w:val="0"/>
      </w:pPr>
      <w:r>
        <w:t>T</w:t>
      </w:r>
      <w:r w:rsidR="00107E3E">
        <w:t xml:space="preserve">he parties’ joint motion </w:t>
      </w:r>
      <w:r w:rsidR="004B1A8E">
        <w:t xml:space="preserve">for approval of settlement </w:t>
      </w:r>
      <w:r w:rsidR="00107E3E">
        <w:t>(dkt. #</w:t>
      </w:r>
      <w:r w:rsidR="00945177">
        <w:t>20</w:t>
      </w:r>
      <w:r w:rsidR="00107E3E">
        <w:t>) is GRANTED.</w:t>
      </w:r>
    </w:p>
    <w:p w14:paraId="6984AAF4" w14:textId="77777777" w:rsidR="00330460" w:rsidRDefault="00945177" w:rsidP="00330460">
      <w:pPr>
        <w:pStyle w:val="DoubleIndent"/>
        <w:numPr>
          <w:ilvl w:val="0"/>
          <w:numId w:val="25"/>
        </w:numPr>
        <w:spacing w:before="240" w:after="240" w:line="240" w:lineRule="auto"/>
        <w:contextualSpacing w:val="0"/>
      </w:pPr>
      <w:r>
        <w:t>All claims in this action are</w:t>
      </w:r>
      <w:r w:rsidR="00330460">
        <w:t xml:space="preserve"> DISMISSED WITH PREJUDICE.  The clerks</w:t>
      </w:r>
      <w:r w:rsidR="00426B80">
        <w:t>’</w:t>
      </w:r>
      <w:r w:rsidR="00330460">
        <w:t xml:space="preserve"> office is directed to close this case.</w:t>
      </w:r>
    </w:p>
    <w:p w14:paraId="219F497B" w14:textId="77777777" w:rsidR="008707B1" w:rsidRDefault="008707B1" w:rsidP="008707B1">
      <w:pPr>
        <w:pStyle w:val="DoubleIndent"/>
      </w:pPr>
      <w:r>
        <w:t>Ent</w:t>
      </w:r>
      <w:r w:rsidR="00B77D28">
        <w:t xml:space="preserve">ered this </w:t>
      </w:r>
      <w:r w:rsidR="00452C81">
        <w:t>28th</w:t>
      </w:r>
      <w:r w:rsidR="00B77D28">
        <w:t xml:space="preserve"> day of </w:t>
      </w:r>
      <w:r w:rsidR="00945177">
        <w:t>October</w:t>
      </w:r>
      <w:r w:rsidR="00107E3E">
        <w:t>, 2019</w:t>
      </w:r>
      <w:r>
        <w:t>.</w:t>
      </w:r>
    </w:p>
    <w:p w14:paraId="76D2AA4E" w14:textId="77777777" w:rsidR="008707B1" w:rsidRDefault="008707B1" w:rsidP="008707B1">
      <w:pPr>
        <w:ind w:left="3600" w:firstLine="720"/>
        <w:jc w:val="both"/>
        <w:rPr>
          <w:rFonts w:ascii="Arrus BT" w:hAnsi="Arrus BT" w:cs="Arrus BT"/>
          <w:sz w:val="23"/>
          <w:szCs w:val="23"/>
        </w:rPr>
      </w:pPr>
      <w:r w:rsidRPr="007A1626">
        <w:rPr>
          <w:rFonts w:ascii="Arrus BT" w:hAnsi="Arrus BT" w:cs="Arrus BT"/>
          <w:sz w:val="23"/>
          <w:szCs w:val="23"/>
        </w:rPr>
        <w:t>BY THE COURT:</w:t>
      </w:r>
    </w:p>
    <w:p w14:paraId="0ADC5C23" w14:textId="77777777" w:rsidR="008707B1" w:rsidRPr="007A1626" w:rsidRDefault="008707B1" w:rsidP="008707B1">
      <w:pPr>
        <w:jc w:val="both"/>
        <w:rPr>
          <w:rFonts w:ascii="Arrus BT" w:hAnsi="Arrus BT" w:cs="Arrus BT"/>
          <w:sz w:val="23"/>
          <w:szCs w:val="23"/>
        </w:rPr>
      </w:pPr>
    </w:p>
    <w:p w14:paraId="42C77079" w14:textId="77777777" w:rsidR="008707B1" w:rsidRPr="007A1626" w:rsidRDefault="008707B1" w:rsidP="008707B1">
      <w:pPr>
        <w:jc w:val="both"/>
        <w:rPr>
          <w:rFonts w:ascii="Arrus BT" w:hAnsi="Arrus BT" w:cs="Arrus BT"/>
          <w:sz w:val="23"/>
          <w:szCs w:val="23"/>
        </w:rPr>
      </w:pP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sidR="00426B80">
        <w:rPr>
          <w:rFonts w:ascii="Arrus BT" w:hAnsi="Arrus BT" w:cs="Arrus BT"/>
          <w:sz w:val="23"/>
          <w:szCs w:val="23"/>
        </w:rPr>
        <w:t>/s/</w:t>
      </w:r>
    </w:p>
    <w:p w14:paraId="7832AFEA"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__________________________________</w:t>
      </w:r>
    </w:p>
    <w:p w14:paraId="4B939BAB" w14:textId="77777777" w:rsidR="008707B1" w:rsidRPr="007A1626" w:rsidRDefault="008707B1" w:rsidP="008707B1">
      <w:pPr>
        <w:pStyle w:val="Single"/>
      </w:pPr>
      <w:r w:rsidRPr="007A1626">
        <w:tab/>
      </w:r>
      <w:r w:rsidRPr="007A1626">
        <w:tab/>
      </w:r>
      <w:r w:rsidRPr="007A1626">
        <w:tab/>
      </w:r>
      <w:r w:rsidRPr="007A1626">
        <w:tab/>
      </w:r>
      <w:r w:rsidRPr="007A1626">
        <w:tab/>
      </w:r>
      <w:r w:rsidRPr="007A1626">
        <w:tab/>
        <w:t>WILLIAM M. CONLEY</w:t>
      </w:r>
    </w:p>
    <w:p w14:paraId="78C7CC1B" w14:textId="77777777" w:rsidR="008707B1" w:rsidRPr="007A1626" w:rsidRDefault="008707B1" w:rsidP="00B77D28">
      <w:pPr>
        <w:pStyle w:val="Single"/>
      </w:pPr>
      <w:r>
        <w:tab/>
      </w:r>
      <w:r>
        <w:tab/>
      </w:r>
      <w:r>
        <w:tab/>
      </w:r>
      <w:r>
        <w:tab/>
      </w:r>
      <w:r>
        <w:tab/>
      </w:r>
      <w:r>
        <w:tab/>
      </w:r>
      <w:r w:rsidRPr="007A1626">
        <w:t>District Judge</w:t>
      </w:r>
    </w:p>
    <w:p w14:paraId="23EE119C" w14:textId="77777777" w:rsidR="003C23D5" w:rsidRDefault="003C23D5" w:rsidP="003C23D5">
      <w:pPr>
        <w:pStyle w:val="Single"/>
      </w:pPr>
      <w:r>
        <w:t xml:space="preserve"> </w:t>
      </w:r>
    </w:p>
    <w:p w14:paraId="7F26536D" w14:textId="77777777" w:rsidR="003C23D5" w:rsidRPr="003C23D5" w:rsidRDefault="003C23D5" w:rsidP="003C23D5">
      <w:pPr>
        <w:pStyle w:val="SingleIndent"/>
      </w:pPr>
    </w:p>
    <w:sectPr w:rsidR="003C23D5" w:rsidRPr="003C23D5" w:rsidSect="003E5BC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599C" w14:textId="77777777" w:rsidR="00571EA6" w:rsidRDefault="00571EA6" w:rsidP="008707B1">
      <w:r>
        <w:separator/>
      </w:r>
    </w:p>
  </w:endnote>
  <w:endnote w:type="continuationSeparator" w:id="0">
    <w:p w14:paraId="3D67E4C4" w14:textId="77777777" w:rsidR="00571EA6" w:rsidRDefault="00571EA6" w:rsidP="0087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rus BT">
    <w:altName w:val="Arrus BT"/>
    <w:panose1 w:val="020906020605060203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792730"/>
      <w:docPartObj>
        <w:docPartGallery w:val="Page Numbers (Bottom of Page)"/>
        <w:docPartUnique/>
      </w:docPartObj>
    </w:sdtPr>
    <w:sdtEndPr>
      <w:rPr>
        <w:rFonts w:ascii="Arrus BT" w:hAnsi="Arrus BT"/>
        <w:noProof/>
      </w:rPr>
    </w:sdtEndPr>
    <w:sdtContent>
      <w:p w14:paraId="44B585AD" w14:textId="77777777" w:rsidR="003E5BC2" w:rsidRPr="003E5BC2" w:rsidRDefault="003E5BC2">
        <w:pPr>
          <w:pStyle w:val="Footer"/>
          <w:jc w:val="center"/>
          <w:rPr>
            <w:rFonts w:ascii="Arrus BT" w:hAnsi="Arrus BT"/>
          </w:rPr>
        </w:pPr>
        <w:r w:rsidRPr="003E5BC2">
          <w:rPr>
            <w:rFonts w:ascii="Arrus BT" w:hAnsi="Arrus BT"/>
          </w:rPr>
          <w:fldChar w:fldCharType="begin"/>
        </w:r>
        <w:r w:rsidRPr="003E5BC2">
          <w:rPr>
            <w:rFonts w:ascii="Arrus BT" w:hAnsi="Arrus BT"/>
          </w:rPr>
          <w:instrText xml:space="preserve"> PAGE   \* MERGEFORMAT </w:instrText>
        </w:r>
        <w:r w:rsidRPr="003E5BC2">
          <w:rPr>
            <w:rFonts w:ascii="Arrus BT" w:hAnsi="Arrus BT"/>
          </w:rPr>
          <w:fldChar w:fldCharType="separate"/>
        </w:r>
        <w:r w:rsidR="0035312F">
          <w:rPr>
            <w:rFonts w:ascii="Arrus BT" w:hAnsi="Arrus BT"/>
            <w:noProof/>
          </w:rPr>
          <w:t>18</w:t>
        </w:r>
        <w:r w:rsidRPr="003E5BC2">
          <w:rPr>
            <w:rFonts w:ascii="Arrus BT" w:hAnsi="Arrus BT"/>
            <w:noProof/>
          </w:rPr>
          <w:fldChar w:fldCharType="end"/>
        </w:r>
      </w:p>
    </w:sdtContent>
  </w:sdt>
  <w:p w14:paraId="02D61239" w14:textId="77777777" w:rsidR="003E5BC2" w:rsidRDefault="003E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B002" w14:textId="77777777" w:rsidR="00571EA6" w:rsidRDefault="00571EA6" w:rsidP="008707B1">
      <w:r>
        <w:separator/>
      </w:r>
    </w:p>
  </w:footnote>
  <w:footnote w:type="continuationSeparator" w:id="0">
    <w:p w14:paraId="05F6DA13" w14:textId="77777777" w:rsidR="00571EA6" w:rsidRDefault="00571EA6" w:rsidP="008707B1">
      <w:r>
        <w:continuationSeparator/>
      </w:r>
    </w:p>
  </w:footnote>
  <w:footnote w:id="1">
    <w:p w14:paraId="7C2A6A3C" w14:textId="77777777" w:rsidR="00F65EB2" w:rsidRDefault="00F65EB2" w:rsidP="00452C81">
      <w:pPr>
        <w:pStyle w:val="FootnoteText"/>
        <w:jc w:val="both"/>
        <w:rPr>
          <w:rFonts w:cs="Arrus BT"/>
        </w:rPr>
      </w:pPr>
      <w:r>
        <w:rPr>
          <w:rStyle w:val="FootnoteReference"/>
        </w:rPr>
        <w:footnoteRef/>
      </w:r>
      <w:r>
        <w:t xml:space="preserve"> Plaintiffs also named </w:t>
      </w:r>
      <w:r>
        <w:rPr>
          <w:rFonts w:cs="Arrus BT"/>
        </w:rPr>
        <w:t>Cameo Family Investments, LLC, as a defendant, but the court previously dismissed that defendant based on the parties’ stipulation.  (Dkt. ##10, 11.)</w:t>
      </w:r>
    </w:p>
    <w:p w14:paraId="023A83C0" w14:textId="77777777" w:rsidR="00F65EB2" w:rsidRDefault="00F65EB2">
      <w:pPr>
        <w:pStyle w:val="FootnoteText"/>
      </w:pPr>
      <w:r>
        <w:rPr>
          <w:rFonts w:cs="Arrus BT"/>
        </w:rPr>
        <w:t xml:space="preserve"> </w:t>
      </w:r>
    </w:p>
  </w:footnote>
  <w:footnote w:id="2">
    <w:p w14:paraId="19DD0B48" w14:textId="77777777" w:rsidR="00F65EB2" w:rsidRDefault="00F65EB2" w:rsidP="00F65EB2">
      <w:pPr>
        <w:pStyle w:val="FootnoteText"/>
        <w:jc w:val="both"/>
      </w:pPr>
      <w:r>
        <w:rPr>
          <w:rStyle w:val="FootnoteReference"/>
        </w:rPr>
        <w:footnoteRef/>
      </w:r>
      <w:r>
        <w:t xml:space="preserve"> In the joint motion to approve settlement, the parties include allegations that are not from this action.  (Joint Mot. (dkt. #20) ¶¶ 1-2.)  The court has disregarded those paragraphs, and has instead considered the plaintiffs’ complaint.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FEBF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8035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A8D9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A20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CF6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1A08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7EEC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21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4A5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A30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A7AEB"/>
    <w:multiLevelType w:val="hybridMultilevel"/>
    <w:tmpl w:val="D90E89C0"/>
    <w:lvl w:ilvl="0" w:tplc="421A7418">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A382E"/>
    <w:multiLevelType w:val="hybridMultilevel"/>
    <w:tmpl w:val="DC844EC0"/>
    <w:lvl w:ilvl="0" w:tplc="F372DCF4">
      <w:start w:val="1"/>
      <w:numFmt w:val="decimal"/>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C039F"/>
    <w:multiLevelType w:val="hybridMultilevel"/>
    <w:tmpl w:val="15E8A26A"/>
    <w:lvl w:ilvl="0" w:tplc="CFA20D0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7600E"/>
    <w:multiLevelType w:val="hybridMultilevel"/>
    <w:tmpl w:val="59FC89AE"/>
    <w:lvl w:ilvl="0" w:tplc="331C13BC">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40185"/>
    <w:multiLevelType w:val="hybridMultilevel"/>
    <w:tmpl w:val="E02EE578"/>
    <w:lvl w:ilvl="0" w:tplc="A930104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D1334F"/>
    <w:multiLevelType w:val="hybridMultilevel"/>
    <w:tmpl w:val="53C64D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772FE9"/>
    <w:multiLevelType w:val="hybridMultilevel"/>
    <w:tmpl w:val="F88A61B0"/>
    <w:lvl w:ilvl="0" w:tplc="08BEBDD4">
      <w:start w:val="1"/>
      <w:numFmt w:val="upperRoman"/>
      <w:pStyle w:val="Outline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37E9F"/>
    <w:multiLevelType w:val="hybridMultilevel"/>
    <w:tmpl w:val="D8D4C9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6484E"/>
    <w:multiLevelType w:val="hybridMultilevel"/>
    <w:tmpl w:val="A32EC3E2"/>
    <w:lvl w:ilvl="0" w:tplc="93E0664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C6A85"/>
    <w:multiLevelType w:val="hybridMultilevel"/>
    <w:tmpl w:val="756EA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3400F7"/>
    <w:multiLevelType w:val="hybridMultilevel"/>
    <w:tmpl w:val="A6AA3EB2"/>
    <w:lvl w:ilvl="0" w:tplc="68CA95F0">
      <w:start w:val="1"/>
      <w:numFmt w:val="lowerLetter"/>
      <w:pStyle w:val="Heading5"/>
      <w:lvlText w:val="%1."/>
      <w:lvlJc w:val="left"/>
      <w:pPr>
        <w:ind w:left="1080"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789C3AAA"/>
    <w:multiLevelType w:val="hybridMultilevel"/>
    <w:tmpl w:val="A62C894E"/>
    <w:lvl w:ilvl="0" w:tplc="852EB0E0">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2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lvlOverride w:ilvl="0">
      <w:startOverride w:val="1"/>
    </w:lvlOverride>
  </w:num>
  <w:num w:numId="18">
    <w:abstractNumId w:val="15"/>
  </w:num>
  <w:num w:numId="19">
    <w:abstractNumId w:val="18"/>
  </w:num>
  <w:num w:numId="20">
    <w:abstractNumId w:val="16"/>
  </w:num>
  <w:num w:numId="21">
    <w:abstractNumId w:val="14"/>
  </w:num>
  <w:num w:numId="22">
    <w:abstractNumId w:val="14"/>
    <w:lvlOverride w:ilvl="0">
      <w:startOverride w:val="1"/>
    </w:lvlOverride>
  </w:num>
  <w:num w:numId="23">
    <w:abstractNumId w:val="13"/>
    <w:lvlOverride w:ilvl="0">
      <w:startOverride w:val="1"/>
    </w:lvlOverride>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A6"/>
    <w:rsid w:val="0000186C"/>
    <w:rsid w:val="00002DF0"/>
    <w:rsid w:val="00003AF7"/>
    <w:rsid w:val="00051C1B"/>
    <w:rsid w:val="00094B27"/>
    <w:rsid w:val="000A6312"/>
    <w:rsid w:val="000D5ED9"/>
    <w:rsid w:val="000D72C9"/>
    <w:rsid w:val="000E1050"/>
    <w:rsid w:val="000E4A62"/>
    <w:rsid w:val="00107E3E"/>
    <w:rsid w:val="0011350C"/>
    <w:rsid w:val="00121DFC"/>
    <w:rsid w:val="0012248F"/>
    <w:rsid w:val="00143B1E"/>
    <w:rsid w:val="00172781"/>
    <w:rsid w:val="00174CF8"/>
    <w:rsid w:val="0017516E"/>
    <w:rsid w:val="00182C65"/>
    <w:rsid w:val="00182DBF"/>
    <w:rsid w:val="00191C94"/>
    <w:rsid w:val="001C61FE"/>
    <w:rsid w:val="001D0863"/>
    <w:rsid w:val="001D736A"/>
    <w:rsid w:val="001E6094"/>
    <w:rsid w:val="00200676"/>
    <w:rsid w:val="002070BF"/>
    <w:rsid w:val="00227817"/>
    <w:rsid w:val="00240DB9"/>
    <w:rsid w:val="00263CB4"/>
    <w:rsid w:val="002E6794"/>
    <w:rsid w:val="0030080E"/>
    <w:rsid w:val="0031586E"/>
    <w:rsid w:val="00325D14"/>
    <w:rsid w:val="00330460"/>
    <w:rsid w:val="00337531"/>
    <w:rsid w:val="00341B7F"/>
    <w:rsid w:val="00346C79"/>
    <w:rsid w:val="0035312F"/>
    <w:rsid w:val="003535B9"/>
    <w:rsid w:val="0039434E"/>
    <w:rsid w:val="00397C36"/>
    <w:rsid w:val="003A78F2"/>
    <w:rsid w:val="003B3A5A"/>
    <w:rsid w:val="003C23D5"/>
    <w:rsid w:val="003E5BC2"/>
    <w:rsid w:val="00426B80"/>
    <w:rsid w:val="00452C81"/>
    <w:rsid w:val="00476CC2"/>
    <w:rsid w:val="00492290"/>
    <w:rsid w:val="004A7E05"/>
    <w:rsid w:val="004B13F4"/>
    <w:rsid w:val="004B1A8E"/>
    <w:rsid w:val="004D0E99"/>
    <w:rsid w:val="004D29AB"/>
    <w:rsid w:val="004D2B69"/>
    <w:rsid w:val="004E6613"/>
    <w:rsid w:val="004F32BD"/>
    <w:rsid w:val="00511D6C"/>
    <w:rsid w:val="00526368"/>
    <w:rsid w:val="0054014A"/>
    <w:rsid w:val="00542615"/>
    <w:rsid w:val="005606C3"/>
    <w:rsid w:val="00570148"/>
    <w:rsid w:val="00571EA6"/>
    <w:rsid w:val="00594D27"/>
    <w:rsid w:val="00600FFF"/>
    <w:rsid w:val="0063115C"/>
    <w:rsid w:val="0064348E"/>
    <w:rsid w:val="00660785"/>
    <w:rsid w:val="006648D2"/>
    <w:rsid w:val="0068230D"/>
    <w:rsid w:val="006A17E1"/>
    <w:rsid w:val="006A2A63"/>
    <w:rsid w:val="006A67D6"/>
    <w:rsid w:val="006B55C0"/>
    <w:rsid w:val="00722D8B"/>
    <w:rsid w:val="0072588A"/>
    <w:rsid w:val="007458A8"/>
    <w:rsid w:val="00783CF8"/>
    <w:rsid w:val="007A7916"/>
    <w:rsid w:val="007B5674"/>
    <w:rsid w:val="007F637A"/>
    <w:rsid w:val="0082124F"/>
    <w:rsid w:val="00824896"/>
    <w:rsid w:val="0085432E"/>
    <w:rsid w:val="008707B1"/>
    <w:rsid w:val="00887686"/>
    <w:rsid w:val="008A12C3"/>
    <w:rsid w:val="008A407C"/>
    <w:rsid w:val="008A62EF"/>
    <w:rsid w:val="008B3C46"/>
    <w:rsid w:val="008B42D9"/>
    <w:rsid w:val="008D1C1D"/>
    <w:rsid w:val="008D3C75"/>
    <w:rsid w:val="00903248"/>
    <w:rsid w:val="009429EE"/>
    <w:rsid w:val="00945177"/>
    <w:rsid w:val="00946CC1"/>
    <w:rsid w:val="009470A2"/>
    <w:rsid w:val="00956EB9"/>
    <w:rsid w:val="009575E1"/>
    <w:rsid w:val="009803E6"/>
    <w:rsid w:val="009A0BDD"/>
    <w:rsid w:val="009B1098"/>
    <w:rsid w:val="009C31BC"/>
    <w:rsid w:val="009D0D06"/>
    <w:rsid w:val="009E0C0C"/>
    <w:rsid w:val="009E7502"/>
    <w:rsid w:val="00A13713"/>
    <w:rsid w:val="00A31732"/>
    <w:rsid w:val="00A5080C"/>
    <w:rsid w:val="00AB56AB"/>
    <w:rsid w:val="00AD3C2F"/>
    <w:rsid w:val="00AD3D90"/>
    <w:rsid w:val="00AF55D7"/>
    <w:rsid w:val="00B37E2F"/>
    <w:rsid w:val="00B67518"/>
    <w:rsid w:val="00B77D28"/>
    <w:rsid w:val="00B91AFF"/>
    <w:rsid w:val="00BA67EA"/>
    <w:rsid w:val="00BB300F"/>
    <w:rsid w:val="00BC4368"/>
    <w:rsid w:val="00BC6FEF"/>
    <w:rsid w:val="00BC7C71"/>
    <w:rsid w:val="00BD54CA"/>
    <w:rsid w:val="00BD62AD"/>
    <w:rsid w:val="00BD7A38"/>
    <w:rsid w:val="00BF7D7E"/>
    <w:rsid w:val="00C03B36"/>
    <w:rsid w:val="00C06B17"/>
    <w:rsid w:val="00C0720C"/>
    <w:rsid w:val="00C43D6F"/>
    <w:rsid w:val="00C53C02"/>
    <w:rsid w:val="00C84B0F"/>
    <w:rsid w:val="00C9739F"/>
    <w:rsid w:val="00CE20F0"/>
    <w:rsid w:val="00D06727"/>
    <w:rsid w:val="00D4148E"/>
    <w:rsid w:val="00D42BB6"/>
    <w:rsid w:val="00D4483D"/>
    <w:rsid w:val="00D53FB9"/>
    <w:rsid w:val="00D60630"/>
    <w:rsid w:val="00D814F9"/>
    <w:rsid w:val="00D954D4"/>
    <w:rsid w:val="00DA0959"/>
    <w:rsid w:val="00DA1A85"/>
    <w:rsid w:val="00DE0289"/>
    <w:rsid w:val="00DF2E2E"/>
    <w:rsid w:val="00E03428"/>
    <w:rsid w:val="00E17687"/>
    <w:rsid w:val="00E178DA"/>
    <w:rsid w:val="00E21545"/>
    <w:rsid w:val="00E3166C"/>
    <w:rsid w:val="00E42FB8"/>
    <w:rsid w:val="00E66D75"/>
    <w:rsid w:val="00E752B9"/>
    <w:rsid w:val="00E9219B"/>
    <w:rsid w:val="00EA1026"/>
    <w:rsid w:val="00EB57F3"/>
    <w:rsid w:val="00F11CA9"/>
    <w:rsid w:val="00F1331A"/>
    <w:rsid w:val="00F373F1"/>
    <w:rsid w:val="00F65EB2"/>
    <w:rsid w:val="00F837AC"/>
    <w:rsid w:val="00F9159E"/>
    <w:rsid w:val="00F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A7A6"/>
  <w15:chartTrackingRefBased/>
  <w15:docId w15:val="{046BDD3A-B985-45D5-B00B-5A42DBBC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07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707B1"/>
    <w:pPr>
      <w:keepNext/>
      <w:keepLines/>
      <w:widowControl/>
      <w:autoSpaceDE/>
      <w:autoSpaceDN/>
      <w:adjustRightInd/>
      <w:spacing w:before="360" w:after="240"/>
      <w:jc w:val="center"/>
      <w:outlineLvl w:val="0"/>
    </w:pPr>
    <w:rPr>
      <w:rFonts w:ascii="Arrus BT" w:eastAsiaTheme="majorEastAsia" w:hAnsi="Arrus BT" w:cstheme="majorBidi"/>
      <w:caps/>
      <w:sz w:val="23"/>
      <w:szCs w:val="32"/>
    </w:rPr>
  </w:style>
  <w:style w:type="paragraph" w:styleId="Heading2">
    <w:name w:val="heading 2"/>
    <w:basedOn w:val="Normal"/>
    <w:next w:val="Normal"/>
    <w:link w:val="Heading2Char"/>
    <w:uiPriority w:val="9"/>
    <w:unhideWhenUsed/>
    <w:qFormat/>
    <w:rsid w:val="009E0C0C"/>
    <w:pPr>
      <w:keepNext/>
      <w:keepLines/>
      <w:numPr>
        <w:numId w:val="1"/>
      </w:numPr>
      <w:spacing w:before="360" w:after="240"/>
      <w:outlineLvl w:val="1"/>
    </w:pPr>
    <w:rPr>
      <w:rFonts w:ascii="Arrus BT" w:eastAsiaTheme="majorEastAsia" w:hAnsi="Arrus BT" w:cstheme="majorBidi"/>
      <w:b/>
      <w:sz w:val="23"/>
      <w:szCs w:val="26"/>
    </w:rPr>
  </w:style>
  <w:style w:type="paragraph" w:styleId="Heading3">
    <w:name w:val="heading 3"/>
    <w:basedOn w:val="Normal"/>
    <w:next w:val="Normal"/>
    <w:link w:val="Heading3Char"/>
    <w:uiPriority w:val="9"/>
    <w:unhideWhenUsed/>
    <w:qFormat/>
    <w:rsid w:val="009E0C0C"/>
    <w:pPr>
      <w:keepNext/>
      <w:keepLines/>
      <w:numPr>
        <w:numId w:val="2"/>
      </w:numPr>
      <w:spacing w:before="360" w:after="240"/>
      <w:outlineLvl w:val="2"/>
    </w:pPr>
    <w:rPr>
      <w:rFonts w:ascii="Arrus BT" w:eastAsiaTheme="majorEastAsia" w:hAnsi="Arrus BT" w:cstheme="majorBidi"/>
      <w:b/>
      <w:sz w:val="23"/>
    </w:rPr>
  </w:style>
  <w:style w:type="paragraph" w:styleId="Heading4">
    <w:name w:val="heading 4"/>
    <w:basedOn w:val="Normal"/>
    <w:next w:val="Normal"/>
    <w:link w:val="Heading4Char"/>
    <w:uiPriority w:val="9"/>
    <w:unhideWhenUsed/>
    <w:qFormat/>
    <w:rsid w:val="009E0C0C"/>
    <w:pPr>
      <w:keepNext/>
      <w:keepLines/>
      <w:numPr>
        <w:numId w:val="3"/>
      </w:numPr>
      <w:spacing w:before="240" w:after="240"/>
      <w:ind w:left="1080"/>
      <w:outlineLvl w:val="3"/>
    </w:pPr>
    <w:rPr>
      <w:rFonts w:ascii="Arrus BT" w:eastAsiaTheme="majorEastAsia" w:hAnsi="Arrus BT" w:cstheme="majorBidi"/>
      <w:b/>
      <w:iCs/>
      <w:sz w:val="23"/>
    </w:rPr>
  </w:style>
  <w:style w:type="paragraph" w:styleId="Heading5">
    <w:name w:val="heading 5"/>
    <w:basedOn w:val="Normal"/>
    <w:next w:val="Normal"/>
    <w:link w:val="Heading5Char"/>
    <w:uiPriority w:val="9"/>
    <w:unhideWhenUsed/>
    <w:qFormat/>
    <w:rsid w:val="00AD3D90"/>
    <w:pPr>
      <w:keepNext/>
      <w:keepLines/>
      <w:numPr>
        <w:numId w:val="4"/>
      </w:numPr>
      <w:spacing w:before="240" w:after="240"/>
      <w:ind w:left="1440"/>
      <w:outlineLvl w:val="4"/>
    </w:pPr>
    <w:rPr>
      <w:rFonts w:ascii="Arrus BT" w:eastAsiaTheme="majorEastAsia" w:hAnsi="Arrus BT" w:cstheme="majorBidi"/>
      <w:b/>
      <w:sz w:val="23"/>
    </w:rPr>
  </w:style>
  <w:style w:type="paragraph" w:styleId="Heading6">
    <w:name w:val="heading 6"/>
    <w:basedOn w:val="Normal"/>
    <w:next w:val="Normal"/>
    <w:link w:val="Heading6Char"/>
    <w:uiPriority w:val="9"/>
    <w:unhideWhenUsed/>
    <w:qFormat/>
    <w:rsid w:val="00DE0289"/>
    <w:pPr>
      <w:keepNext/>
      <w:keepLines/>
      <w:numPr>
        <w:numId w:val="5"/>
      </w:numPr>
      <w:spacing w:before="240" w:after="240"/>
      <w:ind w:left="1080"/>
      <w:outlineLvl w:val="5"/>
    </w:pPr>
    <w:rPr>
      <w:rFonts w:ascii="Arrus BT" w:eastAsiaTheme="majorEastAsia" w:hAnsi="Arrus BT" w:cstheme="majorBidi"/>
      <w:sz w:val="23"/>
    </w:rPr>
  </w:style>
  <w:style w:type="paragraph" w:styleId="Heading7">
    <w:name w:val="heading 7"/>
    <w:basedOn w:val="Normal"/>
    <w:next w:val="Normal"/>
    <w:link w:val="Heading7Char"/>
    <w:uiPriority w:val="9"/>
    <w:unhideWhenUsed/>
    <w:qFormat/>
    <w:rsid w:val="008707B1"/>
    <w:pPr>
      <w:keepNext/>
      <w:keepLines/>
      <w:widowControl/>
      <w:numPr>
        <w:numId w:val="16"/>
      </w:numPr>
      <w:autoSpaceDE/>
      <w:autoSpaceDN/>
      <w:adjustRightInd/>
      <w:spacing w:after="240"/>
      <w:ind w:left="1080"/>
      <w:outlineLvl w:val="6"/>
    </w:pPr>
    <w:rPr>
      <w:rFonts w:ascii="Arrus BT" w:eastAsiaTheme="majorEastAsia" w:hAnsi="Arrus BT" w:cstheme="majorBid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7B1"/>
    <w:rPr>
      <w:rFonts w:ascii="Arrus BT" w:eastAsiaTheme="majorEastAsia" w:hAnsi="Arrus BT" w:cstheme="majorBidi"/>
      <w:caps/>
      <w:sz w:val="23"/>
      <w:szCs w:val="32"/>
    </w:rPr>
  </w:style>
  <w:style w:type="character" w:customStyle="1" w:styleId="Heading2Char">
    <w:name w:val="Heading 2 Char"/>
    <w:basedOn w:val="DefaultParagraphFont"/>
    <w:link w:val="Heading2"/>
    <w:uiPriority w:val="9"/>
    <w:rsid w:val="009E0C0C"/>
    <w:rPr>
      <w:rFonts w:ascii="Arrus BT" w:eastAsiaTheme="majorEastAsia" w:hAnsi="Arrus BT" w:cstheme="majorBidi"/>
      <w:b/>
      <w:sz w:val="23"/>
      <w:szCs w:val="26"/>
    </w:rPr>
  </w:style>
  <w:style w:type="character" w:customStyle="1" w:styleId="Heading3Char">
    <w:name w:val="Heading 3 Char"/>
    <w:basedOn w:val="DefaultParagraphFont"/>
    <w:link w:val="Heading3"/>
    <w:uiPriority w:val="9"/>
    <w:rsid w:val="009E0C0C"/>
    <w:rPr>
      <w:rFonts w:ascii="Arrus BT" w:eastAsiaTheme="majorEastAsia" w:hAnsi="Arrus BT" w:cstheme="majorBidi"/>
      <w:b/>
      <w:sz w:val="23"/>
      <w:szCs w:val="24"/>
    </w:rPr>
  </w:style>
  <w:style w:type="character" w:customStyle="1" w:styleId="Heading4Char">
    <w:name w:val="Heading 4 Char"/>
    <w:basedOn w:val="DefaultParagraphFont"/>
    <w:link w:val="Heading4"/>
    <w:uiPriority w:val="9"/>
    <w:rsid w:val="009E0C0C"/>
    <w:rPr>
      <w:rFonts w:ascii="Arrus BT" w:eastAsiaTheme="majorEastAsia" w:hAnsi="Arrus BT" w:cstheme="majorBidi"/>
      <w:b/>
      <w:iCs/>
      <w:sz w:val="23"/>
    </w:rPr>
  </w:style>
  <w:style w:type="character" w:customStyle="1" w:styleId="Heading5Char">
    <w:name w:val="Heading 5 Char"/>
    <w:basedOn w:val="DefaultParagraphFont"/>
    <w:link w:val="Heading5"/>
    <w:uiPriority w:val="9"/>
    <w:rsid w:val="00AD3D90"/>
    <w:rPr>
      <w:rFonts w:ascii="Arrus BT" w:eastAsiaTheme="majorEastAsia" w:hAnsi="Arrus BT" w:cstheme="majorBidi"/>
      <w:b/>
      <w:sz w:val="23"/>
    </w:rPr>
  </w:style>
  <w:style w:type="character" w:customStyle="1" w:styleId="Heading6Char">
    <w:name w:val="Heading 6 Char"/>
    <w:basedOn w:val="DefaultParagraphFont"/>
    <w:link w:val="Heading6"/>
    <w:uiPriority w:val="9"/>
    <w:rsid w:val="00DE0289"/>
    <w:rPr>
      <w:rFonts w:ascii="Arrus BT" w:eastAsiaTheme="majorEastAsia" w:hAnsi="Arrus BT" w:cstheme="majorBidi"/>
      <w:sz w:val="23"/>
      <w:szCs w:val="24"/>
    </w:rPr>
  </w:style>
  <w:style w:type="paragraph" w:styleId="ListParagraph">
    <w:name w:val="List Paragraph"/>
    <w:basedOn w:val="Normal"/>
    <w:uiPriority w:val="34"/>
    <w:rsid w:val="003C23D5"/>
    <w:pPr>
      <w:ind w:left="720"/>
      <w:contextualSpacing/>
    </w:pPr>
  </w:style>
  <w:style w:type="paragraph" w:customStyle="1" w:styleId="Double">
    <w:name w:val="Double"/>
    <w:basedOn w:val="ListParagraph"/>
    <w:qFormat/>
    <w:rsid w:val="000A6312"/>
    <w:pPr>
      <w:spacing w:line="480" w:lineRule="auto"/>
      <w:ind w:left="0"/>
      <w:jc w:val="both"/>
    </w:pPr>
    <w:rPr>
      <w:rFonts w:ascii="Arrus BT" w:hAnsi="Arrus BT"/>
      <w:sz w:val="23"/>
    </w:rPr>
  </w:style>
  <w:style w:type="paragraph" w:customStyle="1" w:styleId="DoubleIndent">
    <w:name w:val="Double Indent"/>
    <w:basedOn w:val="Double"/>
    <w:qFormat/>
    <w:rsid w:val="008707B1"/>
    <w:pPr>
      <w:ind w:firstLine="720"/>
    </w:pPr>
  </w:style>
  <w:style w:type="paragraph" w:customStyle="1" w:styleId="BlockQuote">
    <w:name w:val="Block Quote"/>
    <w:basedOn w:val="DoubleIndent"/>
    <w:qFormat/>
    <w:rsid w:val="008707B1"/>
    <w:pPr>
      <w:spacing w:after="240" w:line="240" w:lineRule="auto"/>
      <w:ind w:left="1440" w:right="1440" w:firstLine="0"/>
    </w:pPr>
  </w:style>
  <w:style w:type="paragraph" w:customStyle="1" w:styleId="Single">
    <w:name w:val="Single"/>
    <w:basedOn w:val="BlockQuote"/>
    <w:qFormat/>
    <w:rsid w:val="003C23D5"/>
    <w:pPr>
      <w:ind w:left="0" w:right="0"/>
    </w:pPr>
  </w:style>
  <w:style w:type="paragraph" w:customStyle="1" w:styleId="SingleIndent">
    <w:name w:val="Single Indent"/>
    <w:basedOn w:val="Single"/>
    <w:qFormat/>
    <w:rsid w:val="003C23D5"/>
    <w:pPr>
      <w:ind w:firstLine="720"/>
    </w:pPr>
  </w:style>
  <w:style w:type="character" w:customStyle="1" w:styleId="Heading7Char">
    <w:name w:val="Heading 7 Char"/>
    <w:basedOn w:val="DefaultParagraphFont"/>
    <w:link w:val="Heading7"/>
    <w:uiPriority w:val="9"/>
    <w:rsid w:val="008707B1"/>
    <w:rPr>
      <w:rFonts w:ascii="Arrus BT" w:eastAsiaTheme="majorEastAsia" w:hAnsi="Arrus BT" w:cstheme="majorBidi"/>
      <w:iCs/>
      <w:sz w:val="23"/>
    </w:rPr>
  </w:style>
  <w:style w:type="paragraph" w:styleId="FootnoteText">
    <w:name w:val="footnote text"/>
    <w:basedOn w:val="Normal"/>
    <w:link w:val="FootnoteTextChar"/>
    <w:uiPriority w:val="99"/>
    <w:semiHidden/>
    <w:unhideWhenUsed/>
    <w:rsid w:val="00A13713"/>
    <w:pPr>
      <w:keepLines/>
    </w:pPr>
    <w:rPr>
      <w:rFonts w:ascii="Arrus BT" w:hAnsi="Arrus BT"/>
      <w:sz w:val="21"/>
      <w:szCs w:val="20"/>
    </w:rPr>
  </w:style>
  <w:style w:type="character" w:customStyle="1" w:styleId="FootnoteTextChar">
    <w:name w:val="Footnote Text Char"/>
    <w:basedOn w:val="DefaultParagraphFont"/>
    <w:link w:val="FootnoteText"/>
    <w:uiPriority w:val="99"/>
    <w:semiHidden/>
    <w:rsid w:val="00A13713"/>
    <w:rPr>
      <w:rFonts w:ascii="Arrus BT" w:eastAsiaTheme="minorEastAsia" w:hAnsi="Arrus BT" w:cs="Times New Roman"/>
      <w:sz w:val="21"/>
      <w:szCs w:val="20"/>
    </w:rPr>
  </w:style>
  <w:style w:type="character" w:styleId="FootnoteReference">
    <w:name w:val="footnote reference"/>
    <w:basedOn w:val="DefaultParagraphFont"/>
    <w:uiPriority w:val="99"/>
    <w:semiHidden/>
    <w:unhideWhenUsed/>
    <w:rsid w:val="008707B1"/>
    <w:rPr>
      <w:vertAlign w:val="superscript"/>
    </w:rPr>
  </w:style>
  <w:style w:type="paragraph" w:styleId="Header">
    <w:name w:val="header"/>
    <w:basedOn w:val="Normal"/>
    <w:link w:val="HeaderChar"/>
    <w:uiPriority w:val="99"/>
    <w:unhideWhenUsed/>
    <w:rsid w:val="003E5BC2"/>
    <w:pPr>
      <w:tabs>
        <w:tab w:val="center" w:pos="4680"/>
        <w:tab w:val="right" w:pos="9360"/>
      </w:tabs>
    </w:pPr>
  </w:style>
  <w:style w:type="character" w:customStyle="1" w:styleId="HeaderChar">
    <w:name w:val="Header Char"/>
    <w:basedOn w:val="DefaultParagraphFont"/>
    <w:link w:val="Header"/>
    <w:uiPriority w:val="99"/>
    <w:rsid w:val="003E5BC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E5BC2"/>
    <w:pPr>
      <w:tabs>
        <w:tab w:val="center" w:pos="4680"/>
        <w:tab w:val="right" w:pos="9360"/>
      </w:tabs>
    </w:pPr>
  </w:style>
  <w:style w:type="character" w:customStyle="1" w:styleId="FooterChar">
    <w:name w:val="Footer Char"/>
    <w:basedOn w:val="DefaultParagraphFont"/>
    <w:link w:val="Footer"/>
    <w:uiPriority w:val="99"/>
    <w:rsid w:val="003E5BC2"/>
    <w:rPr>
      <w:rFonts w:ascii="Times New Roman" w:eastAsiaTheme="minorEastAsia" w:hAnsi="Times New Roman" w:cs="Times New Roman"/>
      <w:sz w:val="24"/>
      <w:szCs w:val="24"/>
    </w:rPr>
  </w:style>
  <w:style w:type="character" w:customStyle="1" w:styleId="isysentitymarkup">
    <w:name w:val="__isysentitymarkup"/>
    <w:basedOn w:val="DefaultParagraphFont"/>
    <w:rsid w:val="006A67D6"/>
  </w:style>
  <w:style w:type="paragraph" w:styleId="BalloonText">
    <w:name w:val="Balloon Text"/>
    <w:basedOn w:val="Normal"/>
    <w:link w:val="BalloonTextChar"/>
    <w:uiPriority w:val="99"/>
    <w:semiHidden/>
    <w:unhideWhenUsed/>
    <w:rsid w:val="00C43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6F"/>
    <w:rPr>
      <w:rFonts w:ascii="Segoe UI" w:eastAsiaTheme="minorEastAsia" w:hAnsi="Segoe UI" w:cs="Segoe UI"/>
      <w:sz w:val="18"/>
      <w:szCs w:val="18"/>
    </w:rPr>
  </w:style>
  <w:style w:type="paragraph" w:customStyle="1" w:styleId="OutlineI">
    <w:name w:val="Outline I"/>
    <w:qFormat/>
    <w:rsid w:val="0030080E"/>
    <w:pPr>
      <w:numPr>
        <w:numId w:val="20"/>
      </w:numPr>
      <w:spacing w:after="240" w:line="240" w:lineRule="auto"/>
      <w:ind w:hanging="720"/>
    </w:pPr>
    <w:rPr>
      <w:rFonts w:ascii="Arrus BT" w:hAnsi="Arrus BT"/>
      <w:iCs/>
      <w:color w:val="000000" w:themeColor="text1"/>
      <w:sz w:val="23"/>
    </w:rPr>
  </w:style>
  <w:style w:type="character" w:styleId="Emphasis">
    <w:name w:val="Emphasis"/>
    <w:basedOn w:val="DefaultParagraphFont"/>
    <w:uiPriority w:val="20"/>
    <w:qFormat/>
    <w:rsid w:val="009429EE"/>
    <w:rPr>
      <w:i/>
      <w:iCs/>
    </w:rPr>
  </w:style>
  <w:style w:type="character" w:customStyle="1" w:styleId="cosmallcaps">
    <w:name w:val="co_smallcaps"/>
    <w:basedOn w:val="DefaultParagraphFont"/>
    <w:rsid w:val="0094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3200">
      <w:bodyDiv w:val="1"/>
      <w:marLeft w:val="0"/>
      <w:marRight w:val="0"/>
      <w:marTop w:val="0"/>
      <w:marBottom w:val="0"/>
      <w:divBdr>
        <w:top w:val="none" w:sz="0" w:space="0" w:color="auto"/>
        <w:left w:val="none" w:sz="0" w:space="0" w:color="auto"/>
        <w:bottom w:val="none" w:sz="0" w:space="0" w:color="auto"/>
        <w:right w:val="none" w:sz="0" w:space="0" w:color="auto"/>
      </w:divBdr>
    </w:div>
    <w:div w:id="273367375">
      <w:bodyDiv w:val="1"/>
      <w:marLeft w:val="0"/>
      <w:marRight w:val="0"/>
      <w:marTop w:val="0"/>
      <w:marBottom w:val="0"/>
      <w:divBdr>
        <w:top w:val="none" w:sz="0" w:space="0" w:color="auto"/>
        <w:left w:val="none" w:sz="0" w:space="0" w:color="auto"/>
        <w:bottom w:val="none" w:sz="0" w:space="0" w:color="auto"/>
        <w:right w:val="none" w:sz="0" w:space="0" w:color="auto"/>
      </w:divBdr>
    </w:div>
    <w:div w:id="1007631115">
      <w:bodyDiv w:val="1"/>
      <w:marLeft w:val="0"/>
      <w:marRight w:val="0"/>
      <w:marTop w:val="0"/>
      <w:marBottom w:val="0"/>
      <w:divBdr>
        <w:top w:val="none" w:sz="0" w:space="0" w:color="auto"/>
        <w:left w:val="none" w:sz="0" w:space="0" w:color="auto"/>
        <w:bottom w:val="none" w:sz="0" w:space="0" w:color="auto"/>
        <w:right w:val="none" w:sz="0" w:space="0" w:color="auto"/>
      </w:divBdr>
    </w:div>
    <w:div w:id="1370256692">
      <w:bodyDiv w:val="1"/>
      <w:marLeft w:val="0"/>
      <w:marRight w:val="0"/>
      <w:marTop w:val="0"/>
      <w:marBottom w:val="0"/>
      <w:divBdr>
        <w:top w:val="none" w:sz="0" w:space="0" w:color="auto"/>
        <w:left w:val="none" w:sz="0" w:space="0" w:color="auto"/>
        <w:bottom w:val="none" w:sz="0" w:space="0" w:color="auto"/>
        <w:right w:val="none" w:sz="0" w:space="0" w:color="auto"/>
      </w:divBdr>
    </w:div>
    <w:div w:id="1381131181">
      <w:bodyDiv w:val="1"/>
      <w:marLeft w:val="0"/>
      <w:marRight w:val="0"/>
      <w:marTop w:val="0"/>
      <w:marBottom w:val="0"/>
      <w:divBdr>
        <w:top w:val="none" w:sz="0" w:space="0" w:color="auto"/>
        <w:left w:val="none" w:sz="0" w:space="0" w:color="auto"/>
        <w:bottom w:val="none" w:sz="0" w:space="0" w:color="auto"/>
        <w:right w:val="none" w:sz="0" w:space="0" w:color="auto"/>
      </w:divBdr>
    </w:div>
    <w:div w:id="1735078946">
      <w:bodyDiv w:val="1"/>
      <w:marLeft w:val="0"/>
      <w:marRight w:val="0"/>
      <w:marTop w:val="0"/>
      <w:marBottom w:val="0"/>
      <w:divBdr>
        <w:top w:val="none" w:sz="0" w:space="0" w:color="auto"/>
        <w:left w:val="none" w:sz="0" w:space="0" w:color="auto"/>
        <w:bottom w:val="none" w:sz="0" w:space="0" w:color="auto"/>
        <w:right w:val="none" w:sz="0" w:space="0" w:color="auto"/>
      </w:divBdr>
    </w:div>
    <w:div w:id="1874419749">
      <w:bodyDiv w:val="1"/>
      <w:marLeft w:val="0"/>
      <w:marRight w:val="0"/>
      <w:marTop w:val="0"/>
      <w:marBottom w:val="0"/>
      <w:divBdr>
        <w:top w:val="none" w:sz="0" w:space="0" w:color="auto"/>
        <w:left w:val="none" w:sz="0" w:space="0" w:color="auto"/>
        <w:bottom w:val="none" w:sz="0" w:space="0" w:color="auto"/>
        <w:right w:val="none" w:sz="0" w:space="0" w:color="auto"/>
      </w:divBdr>
    </w:div>
    <w:div w:id="19288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44DA-54BB-46A7-A7DE-E6F0AC7D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B05C1D8D.dotm</Template>
  <TotalTime>0</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WIW</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G Wilde</dc:creator>
  <cp:keywords/>
  <dc:description/>
  <cp:lastModifiedBy>Melissa Hardin</cp:lastModifiedBy>
  <cp:revision>2</cp:revision>
  <cp:lastPrinted>2019-10-28T16:35:00Z</cp:lastPrinted>
  <dcterms:created xsi:type="dcterms:W3CDTF">2019-10-28T16:35:00Z</dcterms:created>
  <dcterms:modified xsi:type="dcterms:W3CDTF">2019-10-28T16:35:00Z</dcterms:modified>
</cp:coreProperties>
</file>