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7BD7" w14:textId="77777777" w:rsidR="008707B1" w:rsidRPr="007A1626" w:rsidRDefault="008707B1" w:rsidP="008707B1">
      <w:pPr>
        <w:jc w:val="center"/>
        <w:rPr>
          <w:rFonts w:ascii="Arrus BT" w:hAnsi="Arrus BT" w:cs="Arrus BT"/>
          <w:sz w:val="23"/>
          <w:szCs w:val="23"/>
        </w:rPr>
      </w:pPr>
      <w:bookmarkStart w:id="0" w:name="_GoBack"/>
      <w:bookmarkEnd w:id="0"/>
      <w:r w:rsidRPr="007A1626">
        <w:rPr>
          <w:rFonts w:ascii="Arrus BT" w:hAnsi="Arrus BT" w:cs="Arrus BT"/>
          <w:sz w:val="23"/>
          <w:szCs w:val="23"/>
        </w:rPr>
        <w:t>IN THE UNITED STATES DISTRICT COURT</w:t>
      </w:r>
    </w:p>
    <w:p w14:paraId="5EABB15C" w14:textId="77777777" w:rsidR="008707B1" w:rsidRPr="007A1626" w:rsidRDefault="008707B1" w:rsidP="008707B1">
      <w:pPr>
        <w:jc w:val="center"/>
        <w:rPr>
          <w:rFonts w:ascii="Arrus BT" w:hAnsi="Arrus BT" w:cs="Arrus BT"/>
          <w:sz w:val="23"/>
          <w:szCs w:val="23"/>
        </w:rPr>
      </w:pPr>
      <w:r w:rsidRPr="007A1626">
        <w:rPr>
          <w:rFonts w:ascii="Arrus BT" w:hAnsi="Arrus BT" w:cs="Arrus BT"/>
          <w:sz w:val="23"/>
          <w:szCs w:val="23"/>
        </w:rPr>
        <w:t>FOR THE WESTERN DISTRICT OF WISCONSIN</w:t>
      </w:r>
    </w:p>
    <w:p w14:paraId="7BBFF07B" w14:textId="77777777" w:rsidR="008707B1" w:rsidRPr="007A1626" w:rsidRDefault="008707B1" w:rsidP="008707B1">
      <w:pPr>
        <w:jc w:val="both"/>
        <w:rPr>
          <w:rFonts w:ascii="Arrus BT" w:hAnsi="Arrus BT" w:cs="Arrus BT"/>
          <w:sz w:val="23"/>
          <w:szCs w:val="23"/>
        </w:rPr>
      </w:pPr>
      <w:r>
        <w:rPr>
          <w:noProof/>
          <w:sz w:val="23"/>
          <w:szCs w:val="23"/>
        </w:rPr>
        <mc:AlternateContent>
          <mc:Choice Requires="wps">
            <w:drawing>
              <wp:anchor distT="4294967295" distB="4294967295" distL="114299" distR="114299" simplePos="0" relativeHeight="251659264" behindDoc="0" locked="0" layoutInCell="0" allowOverlap="1" wp14:anchorId="0FA17804" wp14:editId="4085E3CE">
                <wp:simplePos x="0" y="0"/>
                <wp:positionH relativeFrom="margi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32BB"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xvFMXy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sz w:val="23"/>
          <w:szCs w:val="23"/>
        </w:rPr>
        <mc:AlternateContent>
          <mc:Choice Requires="wps">
            <w:drawing>
              <wp:anchor distT="4294967295" distB="4294967295" distL="114300" distR="114300" simplePos="0" relativeHeight="251660288" behindDoc="0" locked="0" layoutInCell="0" allowOverlap="1" wp14:anchorId="6B813212" wp14:editId="566ACD61">
                <wp:simplePos x="0" y="0"/>
                <wp:positionH relativeFrom="margin">
                  <wp:posOffset>0</wp:posOffset>
                </wp:positionH>
                <wp:positionV relativeFrom="paragraph">
                  <wp:posOffset>5714</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958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" o:allowincell="f" strokecolor="#020000" strokeweight=".96pt">
                <w10:wrap anchorx="margin"/>
              </v:line>
            </w:pict>
          </mc:Fallback>
        </mc:AlternateContent>
      </w:r>
    </w:p>
    <w:p w14:paraId="0D79ABA1" w14:textId="77777777" w:rsidR="008707B1" w:rsidRPr="007A1626" w:rsidRDefault="00DA42A3" w:rsidP="008707B1">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rus BT" w:hAnsi="Arrus BT" w:cs="Arrus BT"/>
          <w:sz w:val="23"/>
          <w:szCs w:val="23"/>
        </w:rPr>
      </w:pPr>
      <w:r w:rsidRPr="000E1205">
        <w:rPr>
          <w:rFonts w:ascii="Arrus BT" w:hAnsi="Arrus BT" w:cs="Arrus BT"/>
          <w:caps/>
          <w:sz w:val="23"/>
          <w:szCs w:val="23"/>
        </w:rPr>
        <w:t>A &amp; B Distributing, Inc.</w:t>
      </w:r>
      <w:r w:rsidR="008707B1" w:rsidRPr="007A1626">
        <w:rPr>
          <w:rFonts w:ascii="Arrus BT" w:hAnsi="Arrus BT" w:cs="Arrus BT"/>
          <w:sz w:val="23"/>
          <w:szCs w:val="23"/>
        </w:rPr>
        <w:t>,</w:t>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r>
      <w:r w:rsidR="008707B1" w:rsidRPr="007A1626">
        <w:rPr>
          <w:rFonts w:ascii="Arrus BT" w:hAnsi="Arrus BT" w:cs="Arrus BT"/>
          <w:sz w:val="23"/>
          <w:szCs w:val="23"/>
        </w:rPr>
        <w:tab/>
        <w:t>   </w:t>
      </w:r>
    </w:p>
    <w:p w14:paraId="0FB9E63B" w14:textId="77777777" w:rsidR="008707B1" w:rsidRPr="007A1626" w:rsidRDefault="008707B1" w:rsidP="008707B1">
      <w:pPr>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p>
    <w:p w14:paraId="69C21563" w14:textId="77777777" w:rsidR="008707B1" w:rsidRPr="007A1626" w:rsidRDefault="008707B1" w:rsidP="008707B1">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t>Plaintiff,</w:t>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Pr>
          <w:rFonts w:ascii="Arrus BT" w:hAnsi="Arrus BT" w:cs="Arrus BT"/>
          <w:sz w:val="23"/>
          <w:szCs w:val="23"/>
        </w:rPr>
        <w:t xml:space="preserve">OPINION AND </w:t>
      </w:r>
      <w:r w:rsidRPr="007A1626">
        <w:rPr>
          <w:rFonts w:ascii="Arrus BT" w:hAnsi="Arrus BT" w:cs="Arrus BT"/>
          <w:sz w:val="23"/>
          <w:szCs w:val="23"/>
        </w:rPr>
        <w:t>ORDER</w:t>
      </w:r>
    </w:p>
    <w:p w14:paraId="55BB5A65" w14:textId="77777777" w:rsidR="008707B1" w:rsidRPr="007A1626" w:rsidRDefault="008707B1" w:rsidP="008707B1">
      <w:pPr>
        <w:jc w:val="both"/>
        <w:rPr>
          <w:rFonts w:ascii="Arrus BT" w:hAnsi="Arrus BT" w:cs="Arrus BT"/>
          <w:sz w:val="23"/>
          <w:szCs w:val="23"/>
        </w:rPr>
      </w:pPr>
      <w:r w:rsidRPr="007A1626">
        <w:rPr>
          <w:rFonts w:ascii="Arrus BT" w:hAnsi="Arrus BT" w:cs="Arrus BT"/>
          <w:sz w:val="23"/>
          <w:szCs w:val="23"/>
        </w:rPr>
        <w:tab/>
        <w:t>v.</w:t>
      </w:r>
    </w:p>
    <w:p w14:paraId="0F87AFF5" w14:textId="77777777" w:rsidR="008707B1" w:rsidRPr="007A1626" w:rsidRDefault="008707B1" w:rsidP="008707B1">
      <w:pPr>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t xml:space="preserve">        </w:t>
      </w:r>
      <w:r w:rsidR="00DA42A3">
        <w:rPr>
          <w:rFonts w:ascii="Arrus BT" w:hAnsi="Arrus BT" w:cs="Arrus BT"/>
          <w:sz w:val="23"/>
          <w:szCs w:val="23"/>
        </w:rPr>
        <w:t>18</w:t>
      </w:r>
      <w:r w:rsidRPr="007A1626">
        <w:rPr>
          <w:rFonts w:ascii="Arrus BT" w:hAnsi="Arrus BT" w:cs="Arrus BT"/>
          <w:sz w:val="23"/>
          <w:szCs w:val="23"/>
        </w:rPr>
        <w:t>-cv-</w:t>
      </w:r>
      <w:r w:rsidR="00DA42A3">
        <w:rPr>
          <w:rFonts w:ascii="Arrus BT" w:hAnsi="Arrus BT" w:cs="Arrus BT"/>
          <w:sz w:val="23"/>
          <w:szCs w:val="23"/>
        </w:rPr>
        <w:t>938</w:t>
      </w:r>
      <w:r w:rsidRPr="007A1626">
        <w:rPr>
          <w:rFonts w:ascii="Arrus BT" w:hAnsi="Arrus BT" w:cs="Arrus BT"/>
          <w:sz w:val="23"/>
          <w:szCs w:val="23"/>
        </w:rPr>
        <w:t>-wmc</w:t>
      </w:r>
    </w:p>
    <w:p w14:paraId="6376069E" w14:textId="77777777" w:rsidR="008707B1" w:rsidRPr="007A1626" w:rsidRDefault="00DA42A3" w:rsidP="008707B1">
      <w:pPr>
        <w:jc w:val="both"/>
        <w:rPr>
          <w:rFonts w:ascii="Arrus BT" w:hAnsi="Arrus BT" w:cs="Arrus BT"/>
          <w:sz w:val="23"/>
          <w:szCs w:val="23"/>
        </w:rPr>
      </w:pPr>
      <w:r w:rsidRPr="000E1205">
        <w:rPr>
          <w:rFonts w:ascii="Arrus BT" w:hAnsi="Arrus BT" w:cs="Arrus BT"/>
          <w:caps/>
          <w:sz w:val="23"/>
          <w:szCs w:val="23"/>
        </w:rPr>
        <w:t>Heggie’s Pizza, LLC</w:t>
      </w:r>
      <w:r w:rsidR="008707B1">
        <w:rPr>
          <w:rFonts w:ascii="Arrus BT" w:hAnsi="Arrus BT" w:cs="Arrus BT"/>
          <w:sz w:val="23"/>
          <w:szCs w:val="23"/>
        </w:rPr>
        <w:t>,</w:t>
      </w:r>
    </w:p>
    <w:p w14:paraId="41E8D994" w14:textId="77777777" w:rsidR="008707B1" w:rsidRPr="007A1626" w:rsidRDefault="008707B1" w:rsidP="008707B1">
      <w:pPr>
        <w:spacing w:line="192" w:lineRule="auto"/>
        <w:jc w:val="both"/>
        <w:rPr>
          <w:rFonts w:ascii="Arrus BT" w:hAnsi="Arrus BT" w:cs="Arrus BT"/>
          <w:sz w:val="23"/>
          <w:szCs w:val="23"/>
        </w:rPr>
      </w:pPr>
    </w:p>
    <w:p w14:paraId="1CEFD81D" w14:textId="77777777" w:rsidR="008707B1" w:rsidRPr="007A1626" w:rsidRDefault="008707B1" w:rsidP="008707B1">
      <w:pPr>
        <w:spacing w:line="192" w:lineRule="auto"/>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t>Defendant.</w:t>
      </w:r>
    </w:p>
    <w:p w14:paraId="38427FBE" w14:textId="77777777" w:rsidR="008707B1" w:rsidRPr="007A1626" w:rsidRDefault="008707B1" w:rsidP="008707B1">
      <w:pPr>
        <w:spacing w:line="192" w:lineRule="auto"/>
        <w:jc w:val="both"/>
        <w:rPr>
          <w:rFonts w:ascii="Arrus BT" w:hAnsi="Arrus BT" w:cs="Arrus BT"/>
          <w:sz w:val="23"/>
          <w:szCs w:val="23"/>
        </w:rPr>
      </w:pPr>
    </w:p>
    <w:p w14:paraId="6A2B6022" w14:textId="77777777" w:rsidR="00DF3BF6" w:rsidRDefault="008707B1" w:rsidP="00AF2428">
      <w:pPr>
        <w:pStyle w:val="DoubleIndent"/>
        <w:spacing w:before="240"/>
      </w:pPr>
      <w:r>
        <w:rPr>
          <w:noProof/>
        </w:rPr>
        <mc:AlternateContent>
          <mc:Choice Requires="wps">
            <w:drawing>
              <wp:anchor distT="4294967295" distB="4294967295" distL="114299" distR="114299" simplePos="0" relativeHeight="251661312" behindDoc="0" locked="0" layoutInCell="0" allowOverlap="1" wp14:anchorId="5A55F15B" wp14:editId="2E191836">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49C2" id="Straight Connector 2"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4294967295" distB="4294967295" distL="114300" distR="114300" simplePos="0" relativeHeight="251662336" behindDoc="0" locked="0" layoutInCell="0" allowOverlap="1" wp14:anchorId="13C29587" wp14:editId="2AEF2194">
                <wp:simplePos x="0" y="0"/>
                <wp:positionH relativeFrom="margin">
                  <wp:posOffset>0</wp:posOffset>
                </wp:positionH>
                <wp:positionV relativeFrom="paragraph">
                  <wp:posOffset>5714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0D8C"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r w:rsidR="00AF2428">
        <w:rPr>
          <w:rFonts w:cs="Arrus BT"/>
        </w:rPr>
        <w:t xml:space="preserve">This case is set for a jury trial, commencing January 13, 2020.  In advance of the final pretrial conference scheduled for December 17, 2019, the court issues the following opinion and order on the parties’ respective motions </w:t>
      </w:r>
      <w:r w:rsidR="00AF2428">
        <w:rPr>
          <w:rFonts w:cs="Arrus BT"/>
          <w:i/>
        </w:rPr>
        <w:t xml:space="preserve">in </w:t>
      </w:r>
      <w:r w:rsidR="00AF2428" w:rsidRPr="00AF2428">
        <w:rPr>
          <w:rFonts w:cs="Arrus BT"/>
          <w:i/>
        </w:rPr>
        <w:t>limine</w:t>
      </w:r>
      <w:r w:rsidR="00A43404">
        <w:rPr>
          <w:rFonts w:cs="Arrus BT"/>
        </w:rPr>
        <w:t xml:space="preserve"> (“MILs”)</w:t>
      </w:r>
      <w:r w:rsidR="00AF2428">
        <w:rPr>
          <w:rFonts w:cs="Arrus BT"/>
        </w:rPr>
        <w:t xml:space="preserve">.  </w:t>
      </w:r>
    </w:p>
    <w:p w14:paraId="1D13D677" w14:textId="77777777" w:rsidR="008707B1" w:rsidRDefault="008707B1" w:rsidP="008707B1">
      <w:pPr>
        <w:pStyle w:val="Heading1"/>
      </w:pPr>
      <w:r>
        <w:t>opinion</w:t>
      </w:r>
    </w:p>
    <w:p w14:paraId="1D174C1A" w14:textId="77777777" w:rsidR="008707B1" w:rsidRDefault="00AF2428" w:rsidP="00887686">
      <w:pPr>
        <w:pStyle w:val="Heading2"/>
      </w:pPr>
      <w:r>
        <w:t xml:space="preserve">Plaintiff’s Motion </w:t>
      </w:r>
      <w:r>
        <w:rPr>
          <w:i/>
        </w:rPr>
        <w:t>in Limine</w:t>
      </w:r>
    </w:p>
    <w:p w14:paraId="21CF561E" w14:textId="77777777" w:rsidR="00F20438" w:rsidRDefault="00AF2428" w:rsidP="001D5435">
      <w:pPr>
        <w:pStyle w:val="DoubleIndent"/>
      </w:pPr>
      <w:r>
        <w:t>Plaintiff seeks to exclude defendant from offering an April 10, 2014, report of A&amp;B’s value prepared by Murray &amp; Roberts CPA Firm, S.C., and expert testimony on the loss of business value because plaintiff contends that it is not seeking damages based on loss of business value, but</w:t>
      </w:r>
      <w:r w:rsidR="00A43404">
        <w:t xml:space="preserve"> is </w:t>
      </w:r>
      <w:r>
        <w:t>instead pursuing a lost profits theory.</w:t>
      </w:r>
      <w:r w:rsidR="000A48FF">
        <w:t xml:space="preserve">  (Dkt. #50.)</w:t>
      </w:r>
    </w:p>
    <w:p w14:paraId="2A277A1E" w14:textId="77777777" w:rsidR="000A48FF" w:rsidRDefault="000A48FF" w:rsidP="000A48FF">
      <w:pPr>
        <w:pStyle w:val="DoubleIndent"/>
      </w:pPr>
      <w:r>
        <w:t xml:space="preserve">In </w:t>
      </w:r>
      <w:r w:rsidR="00A43404">
        <w:t>addition to arguing that plaintiff should be excluded from presenting further lost profits in its own MIL No. 4 addressed below</w:t>
      </w:r>
      <w:r>
        <w:t xml:space="preserve">, defendant argues that plaintiff has failed to provide any support for its argument that plaintiff’s plan to pursue a lost profits damages claim provides a basis for excluding defendant from arguing </w:t>
      </w:r>
      <w:r w:rsidR="00C404C5">
        <w:t>for</w:t>
      </w:r>
      <w:r>
        <w:t xml:space="preserve"> a damages award based on loss of business value.  Indeed, as defendant points out, the only case plaintiff cites in support, allowed presentation of both lost profits and loss of business value to the jury for </w:t>
      </w:r>
      <w:r>
        <w:lastRenderedPageBreak/>
        <w:t xml:space="preserve">its determination of what type of damages should be award.  </w:t>
      </w:r>
      <w:r>
        <w:rPr>
          <w:i/>
        </w:rPr>
        <w:t>See C. A. May Marine Supply Co. v. Brunswick Corp.</w:t>
      </w:r>
      <w:r>
        <w:t>, 649 F.2d 1049, 1053 (5th Cir. 1981).  Moreover, defendant argues that the 2014 valuation is relevant because it was produced for the purpose of “retirement planning” and undercuts any testimony by plaintiff’s owner Vucicevic that he would have worked for an additional 10 years.</w:t>
      </w:r>
    </w:p>
    <w:p w14:paraId="478493BC" w14:textId="77777777" w:rsidR="000A48FF" w:rsidRDefault="000A48FF" w:rsidP="000A48FF">
      <w:pPr>
        <w:pStyle w:val="DoubleIndent"/>
      </w:pPr>
      <w:r>
        <w:t>The court agrees with defendant that this evidence is material to challenging Vucicevic’s possible testimony and is also relevant to defendant’s position that the jury should award damages based on a loss of business value</w:t>
      </w:r>
      <w:r w:rsidR="00A43404">
        <w:t>, rather than lost profits</w:t>
      </w:r>
      <w:r>
        <w:t>.  As such, this motion is DENIED.</w:t>
      </w:r>
    </w:p>
    <w:p w14:paraId="44246E09" w14:textId="77777777" w:rsidR="00AF2428" w:rsidRDefault="00AF2428" w:rsidP="00AF2428">
      <w:pPr>
        <w:pStyle w:val="Heading2"/>
      </w:pPr>
      <w:r>
        <w:t xml:space="preserve">Defendant’s Motions in </w:t>
      </w:r>
      <w:r>
        <w:rPr>
          <w:i/>
        </w:rPr>
        <w:t>Limine</w:t>
      </w:r>
    </w:p>
    <w:p w14:paraId="449E27D6" w14:textId="77777777" w:rsidR="00AF2428" w:rsidRDefault="000A48FF" w:rsidP="00AF2428">
      <w:pPr>
        <w:pStyle w:val="Heading3"/>
      </w:pPr>
      <w:r>
        <w:t>MIL No. 1: preclude evidence outside of statute of limitation (dkt. #56)</w:t>
      </w:r>
    </w:p>
    <w:p w14:paraId="026B0B0C" w14:textId="77777777" w:rsidR="000A48FF" w:rsidRDefault="000A48FF" w:rsidP="000A48FF">
      <w:pPr>
        <w:pStyle w:val="DoubleIndent"/>
      </w:pPr>
      <w:r>
        <w:t>Defendant seeks an order precluding plaintiff from offering evidence or arguing that “Heggie’s impermissibly changed the terms of the dealership in or around 2014 to 2015 by encroaching on A&amp;B’s supposed territory.”  (</w:t>
      </w:r>
      <w:r w:rsidR="00670181">
        <w:t xml:space="preserve">Def.’s </w:t>
      </w:r>
      <w:r w:rsidR="00005675">
        <w:t>Br.</w:t>
      </w:r>
      <w:r w:rsidR="00670181">
        <w:t xml:space="preserve"> (dkt. #56) 2.)  Defendants contends that this evidence is not relevant because plaintiff’s only claim is that it was improperly terminated on August 17, 2018</w:t>
      </w:r>
      <w:r w:rsidR="00A43404">
        <w:t>.  Regardless</w:t>
      </w:r>
      <w:r w:rsidR="00670181">
        <w:t>,</w:t>
      </w:r>
      <w:r w:rsidR="00A43404">
        <w:t xml:space="preserve"> defendant argues</w:t>
      </w:r>
      <w:r w:rsidR="00670181">
        <w:t xml:space="preserve"> this evidence falls outside of the applicable statute of limitations.</w:t>
      </w:r>
    </w:p>
    <w:p w14:paraId="5F9377B7" w14:textId="77777777" w:rsidR="00670181" w:rsidRDefault="00A43404" w:rsidP="000A48FF">
      <w:pPr>
        <w:pStyle w:val="DoubleIndent"/>
      </w:pPr>
      <w:r>
        <w:t>As an initial matter,</w:t>
      </w:r>
      <w:r w:rsidR="00670181">
        <w:t xml:space="preserve"> the court agrees with defendant that plaintiff cannot pursue a claim that defendant impermissibly changed the terms of the dealership agreement in 2014 or 2015,</w:t>
      </w:r>
      <w:r>
        <w:t xml:space="preserve"> both because it is time barred and not alleged.  Nor may it argue that this change was in any way “impermissible,” since plaintiff failed to object timely.  However, that does </w:t>
      </w:r>
      <w:r>
        <w:lastRenderedPageBreak/>
        <w:t>not mean</w:t>
      </w:r>
      <w:r w:rsidR="00670181">
        <w:t xml:space="preserve"> the evidence </w:t>
      </w:r>
      <w:r>
        <w:t xml:space="preserve">has </w:t>
      </w:r>
      <w:r>
        <w:rPr>
          <w:i/>
        </w:rPr>
        <w:t>no</w:t>
      </w:r>
      <w:r>
        <w:t xml:space="preserve"> </w:t>
      </w:r>
      <w:r w:rsidR="00670181">
        <w:t>relevan</w:t>
      </w:r>
      <w:r>
        <w:t>ce.  In particular,</w:t>
      </w:r>
      <w:r w:rsidR="00670181">
        <w:t xml:space="preserve"> as plaintiff </w:t>
      </w:r>
      <w:r>
        <w:t>explain</w:t>
      </w:r>
      <w:r w:rsidR="00670181">
        <w:t xml:space="preserve">s in its opposition, </w:t>
      </w:r>
      <w:r>
        <w:t>it intends to argue as part of its claim that</w:t>
      </w:r>
      <w:r w:rsidR="00670181">
        <w:t xml:space="preserve"> defendant </w:t>
      </w:r>
      <w:r>
        <w:t>lacked</w:t>
      </w:r>
      <w:r w:rsidR="00670181">
        <w:t xml:space="preserve"> good cause for the termination,</w:t>
      </w:r>
      <w:r>
        <w:t xml:space="preserve"> </w:t>
      </w:r>
      <w:r w:rsidR="00C404C5">
        <w:t xml:space="preserve">because </w:t>
      </w:r>
      <w:r w:rsidR="00670181">
        <w:t>the reasons for the termination were pretext for defendant’s</w:t>
      </w:r>
      <w:r>
        <w:t xml:space="preserve"> long-term plan to</w:t>
      </w:r>
      <w:r w:rsidR="00670181">
        <w:t xml:space="preserve"> tak</w:t>
      </w:r>
      <w:r>
        <w:t>e</w:t>
      </w:r>
      <w:r w:rsidR="00670181">
        <w:t xml:space="preserve"> over A&amp;B’s territory with its own in-house distribution system.  Accordingly, this motion is GRANTED IN PART AND DENIED IN PART.  The evidence that Heggie’s began encroaching on A&amp;B’s territory in 2014 and 2015 is admissible, though plaintiff may not argue that such actions breached the parties’ dealership agreement</w:t>
      </w:r>
      <w:r>
        <w:t xml:space="preserve"> or w</w:t>
      </w:r>
      <w:r w:rsidR="00C404C5">
        <w:t>ere</w:t>
      </w:r>
      <w:r>
        <w:t xml:space="preserve"> otherwise legally impermissible</w:t>
      </w:r>
      <w:r w:rsidR="00670181">
        <w:t xml:space="preserve">. </w:t>
      </w:r>
    </w:p>
    <w:p w14:paraId="376495B4" w14:textId="77777777" w:rsidR="00670181" w:rsidRDefault="00670181" w:rsidP="00670181">
      <w:pPr>
        <w:pStyle w:val="Heading3"/>
      </w:pPr>
      <w:r>
        <w:t>MIL No. 2: exclude evidence of defendant’s insurance (dkt. #57)</w:t>
      </w:r>
    </w:p>
    <w:p w14:paraId="28CFEC4A" w14:textId="77777777" w:rsidR="00670181" w:rsidRDefault="00670181" w:rsidP="00670181">
      <w:pPr>
        <w:pStyle w:val="DoubleIndent"/>
      </w:pPr>
      <w:r>
        <w:t>Defendant seeks to exclude evidence of insurance coverage, citing Federal Rule of Evidence 411 for support.  Plaintiff does not oppose this motion.  As such, it is GRANTED as unopposed.</w:t>
      </w:r>
    </w:p>
    <w:p w14:paraId="4BA89AD0" w14:textId="77777777" w:rsidR="00670181" w:rsidRDefault="00670181" w:rsidP="00670181">
      <w:pPr>
        <w:pStyle w:val="Heading3"/>
      </w:pPr>
      <w:r>
        <w:t xml:space="preserve">MIL No. 3: </w:t>
      </w:r>
      <w:bookmarkStart w:id="1" w:name="_Hlk26952258"/>
      <w:r>
        <w:t>exclude testimony or evidence regarding Heggie’s size or financial wherewithal (dkt. #58)</w:t>
      </w:r>
      <w:bookmarkEnd w:id="1"/>
    </w:p>
    <w:p w14:paraId="1E4805CA" w14:textId="77777777" w:rsidR="00670181" w:rsidRDefault="00670181" w:rsidP="00670181">
      <w:pPr>
        <w:pStyle w:val="DoubleIndent"/>
      </w:pPr>
      <w:r>
        <w:t xml:space="preserve">Next, defendant seeks to exclude any evidence or reference to the “size or financial wherewithal” of Heggie’s, </w:t>
      </w:r>
      <w:r w:rsidR="00BD765F">
        <w:t xml:space="preserve">arguing </w:t>
      </w:r>
      <w:r>
        <w:t xml:space="preserve">that </w:t>
      </w:r>
      <w:r w:rsidR="00BD765F">
        <w:t>this</w:t>
      </w:r>
      <w:r>
        <w:t xml:space="preserve"> evidence is not relevant and may</w:t>
      </w:r>
      <w:r w:rsidR="00BD765F">
        <w:t xml:space="preserve"> unfairly</w:t>
      </w:r>
      <w:r>
        <w:t xml:space="preserve"> appeal to the sympathy of jurors,</w:t>
      </w:r>
      <w:r w:rsidR="00BD765F">
        <w:t xml:space="preserve"> in violation of</w:t>
      </w:r>
      <w:r>
        <w:t xml:space="preserve"> Federal Rules of Evidence 401 and 403.</w:t>
      </w:r>
    </w:p>
    <w:p w14:paraId="4C12E342" w14:textId="77777777" w:rsidR="00670181" w:rsidRDefault="00BD765F" w:rsidP="00670181">
      <w:pPr>
        <w:pStyle w:val="DoubleIndent"/>
      </w:pPr>
      <w:r>
        <w:t>P</w:t>
      </w:r>
      <w:r w:rsidR="00670181">
        <w:t>laintiff does not oppose this motion</w:t>
      </w:r>
      <w:r w:rsidRPr="00BD765F">
        <w:t xml:space="preserve"> </w:t>
      </w:r>
      <w:r>
        <w:t>generally</w:t>
      </w:r>
      <w:r w:rsidR="00670181">
        <w:t>, but contends that it should be able to introduce evidence of “what percentage of sales A&amp;B made of Heggie’s pizzas as compared to all sales of Heggie’s pizzas in any given year</w:t>
      </w:r>
      <w:r>
        <w:t>.</w:t>
      </w:r>
      <w:r w:rsidR="00670181">
        <w:t>”</w:t>
      </w:r>
      <w:r>
        <w:t xml:space="preserve">  (Pl.’s Opp’n (dkt. #74) 3.)  More specifically, plaintiff argues that this</w:t>
      </w:r>
      <w:r w:rsidR="00670181">
        <w:t xml:space="preserve"> evidence is relevant to</w:t>
      </w:r>
      <w:r>
        <w:t xml:space="preserve"> show that</w:t>
      </w:r>
      <w:r w:rsidR="00670181">
        <w:t xml:space="preserve"> Heggie’s </w:t>
      </w:r>
      <w:r w:rsidR="00670181">
        <w:lastRenderedPageBreak/>
        <w:t>purported reasons for terminating the dealership were not the real reasons, but rather Heggie’s was motivated by wanting to replace A&amp;B’s dealership with its own personnel.</w:t>
      </w:r>
      <w:r>
        <w:t xml:space="preserve">  Unfortunately, plaintiff does not elaborate further as to </w:t>
      </w:r>
      <w:r>
        <w:rPr>
          <w:i/>
        </w:rPr>
        <w:t>how</w:t>
      </w:r>
      <w:r>
        <w:t xml:space="preserve"> A&amp;B’s relative sales to Heggie’s overall pizza sales has any bearing on its motivation in terminating A&amp;B’s dealership.  Accordingly,</w:t>
      </w:r>
      <w:r w:rsidR="00670181">
        <w:t xml:space="preserve"> </w:t>
      </w:r>
      <w:r>
        <w:t>t</w:t>
      </w:r>
      <w:r w:rsidR="00B90E9D">
        <w:t>he court will RESERVE on this motion pending</w:t>
      </w:r>
      <w:r w:rsidR="003F77C2">
        <w:t xml:space="preserve"> plaintiff’s </w:t>
      </w:r>
      <w:r w:rsidR="003F77C2">
        <w:rPr>
          <w:i/>
        </w:rPr>
        <w:t>specific</w:t>
      </w:r>
      <w:r w:rsidR="003F77C2">
        <w:t xml:space="preserve"> proffer and the parties’</w:t>
      </w:r>
      <w:r w:rsidR="00B90E9D">
        <w:t xml:space="preserve"> additional </w:t>
      </w:r>
      <w:r w:rsidR="003F77C2">
        <w:t>argument</w:t>
      </w:r>
      <w:r w:rsidR="00B90E9D">
        <w:t xml:space="preserve"> at the final pretrial conference</w:t>
      </w:r>
      <w:r w:rsidR="003F77C2">
        <w:t>.  In particular</w:t>
      </w:r>
      <w:r w:rsidR="00B90E9D">
        <w:t>,</w:t>
      </w:r>
      <w:r w:rsidR="003F77C2">
        <w:t xml:space="preserve"> plaintiff should be prepared to explain exactly what</w:t>
      </w:r>
      <w:r w:rsidR="00B90E9D">
        <w:t xml:space="preserve"> evidence</w:t>
      </w:r>
      <w:r w:rsidR="003F77C2">
        <w:t xml:space="preserve"> it</w:t>
      </w:r>
      <w:r w:rsidR="00B90E9D">
        <w:t xml:space="preserve"> seeks to introduce</w:t>
      </w:r>
      <w:r w:rsidR="003F77C2">
        <w:t xml:space="preserve"> at trial</w:t>
      </w:r>
      <w:r w:rsidR="00B90E9D">
        <w:t xml:space="preserve"> that would fall within the scope of this motion </w:t>
      </w:r>
      <w:r w:rsidR="00B90E9D" w:rsidRPr="00B90E9D">
        <w:rPr>
          <w:i/>
        </w:rPr>
        <w:t>in limine</w:t>
      </w:r>
      <w:r w:rsidR="003F77C2">
        <w:t xml:space="preserve"> </w:t>
      </w:r>
      <w:r w:rsidR="003F77C2" w:rsidRPr="003F77C2">
        <w:rPr>
          <w:i/>
        </w:rPr>
        <w:t>and</w:t>
      </w:r>
      <w:r w:rsidR="003F77C2">
        <w:t xml:space="preserve"> why it bears on Heggie’s motivation to terminate A&amp;B</w:t>
      </w:r>
      <w:r w:rsidR="00B90E9D">
        <w:t>.</w:t>
      </w:r>
    </w:p>
    <w:p w14:paraId="0BA542C1" w14:textId="77777777" w:rsidR="00980176" w:rsidRDefault="00980176" w:rsidP="00980176">
      <w:pPr>
        <w:pStyle w:val="Heading3"/>
      </w:pPr>
      <w:r>
        <w:t>MIL No. 4: preclude evidence or testimony of lost future profits</w:t>
      </w:r>
    </w:p>
    <w:p w14:paraId="5DFEAF8B" w14:textId="77777777" w:rsidR="00980176" w:rsidRDefault="00980176" w:rsidP="006F4D99">
      <w:pPr>
        <w:pStyle w:val="DoubleIndent"/>
      </w:pPr>
      <w:r>
        <w:t>Related to plaintiff’s</w:t>
      </w:r>
      <w:r w:rsidR="008C517B">
        <w:t xml:space="preserve"> own</w:t>
      </w:r>
      <w:r>
        <w:t xml:space="preserve"> motion </w:t>
      </w:r>
      <w:r>
        <w:rPr>
          <w:i/>
        </w:rPr>
        <w:t>in limine</w:t>
      </w:r>
      <w:r>
        <w:t>, defendant seeks to exclude plaintiff’s</w:t>
      </w:r>
      <w:r w:rsidR="008C517B">
        <w:t xml:space="preserve"> future</w:t>
      </w:r>
      <w:r>
        <w:t xml:space="preserve"> lost profits damages </w:t>
      </w:r>
      <w:r w:rsidR="008C517B">
        <w:t xml:space="preserve">evidence </w:t>
      </w:r>
      <w:r>
        <w:t>of over $1 million on the basis that</w:t>
      </w:r>
      <w:r w:rsidR="008C517B">
        <w:t>:  (1)A&amp;B’s owner Al</w:t>
      </w:r>
      <w:r>
        <w:t xml:space="preserve"> Vu</w:t>
      </w:r>
      <w:r w:rsidR="00005675">
        <w:t>c</w:t>
      </w:r>
      <w:r>
        <w:t>icevic is not qualified to act as an expert</w:t>
      </w:r>
      <w:r w:rsidR="008C517B">
        <w:t xml:space="preserve"> on damages</w:t>
      </w:r>
      <w:r>
        <w:t xml:space="preserve"> and</w:t>
      </w:r>
      <w:r w:rsidR="008C517B">
        <w:t xml:space="preserve"> </w:t>
      </w:r>
      <w:r>
        <w:t xml:space="preserve"> plaintiff failed to disclose an expert</w:t>
      </w:r>
      <w:r w:rsidR="008C517B">
        <w:t xml:space="preserve">; </w:t>
      </w:r>
      <w:r w:rsidR="00C404C5">
        <w:t xml:space="preserve">and </w:t>
      </w:r>
      <w:r w:rsidR="008C517B">
        <w:t>(2)</w:t>
      </w:r>
      <w:r>
        <w:t xml:space="preserve"> </w:t>
      </w:r>
      <w:r w:rsidR="008C517B">
        <w:t xml:space="preserve">plaintiff’s </w:t>
      </w:r>
      <w:r>
        <w:t>claim</w:t>
      </w:r>
      <w:r w:rsidR="008C517B">
        <w:t xml:space="preserve"> to lost profits</w:t>
      </w:r>
      <w:r>
        <w:t xml:space="preserve"> is “also overstated, unsupported, speculative an unreliable.”  (Def.’s Mot. (dkt. #59) 1.)  In support of the first argument, defendant contends that expert testimony is required to establish future lost profits,</w:t>
      </w:r>
      <w:r w:rsidR="006F4D99">
        <w:t xml:space="preserve"> directing the court to </w:t>
      </w:r>
      <w:r w:rsidR="006F4D99">
        <w:rPr>
          <w:i/>
        </w:rPr>
        <w:t>Renschler Co. v. MSA Prof’l Servs, Inc.</w:t>
      </w:r>
      <w:r w:rsidR="006F4D99">
        <w:t>, 2013 WI App 84, ¶ 28, 348 Wis. 2d 763, 833 N.W.2d 873 (unpublished).</w:t>
      </w:r>
      <w:r w:rsidR="006F4D99">
        <w:rPr>
          <w:rStyle w:val="FootnoteReference"/>
        </w:rPr>
        <w:footnoteReference w:id="1"/>
      </w:r>
      <w:r w:rsidR="006F4D99">
        <w:t xml:space="preserve">   As plaintiff </w:t>
      </w:r>
      <w:r w:rsidR="008C517B">
        <w:t>points out</w:t>
      </w:r>
      <w:r w:rsidR="006F4D99">
        <w:t xml:space="preserve"> in</w:t>
      </w:r>
      <w:r w:rsidR="008C517B">
        <w:t xml:space="preserve"> its</w:t>
      </w:r>
      <w:r w:rsidR="006F4D99">
        <w:t xml:space="preserve"> opposition</w:t>
      </w:r>
      <w:r w:rsidR="008C517B">
        <w:t xml:space="preserve"> brief</w:t>
      </w:r>
      <w:r w:rsidR="006F4D99">
        <w:t>, this case concerned</w:t>
      </w:r>
      <w:r w:rsidR="008C517B">
        <w:t xml:space="preserve"> a claim to future lost profits</w:t>
      </w:r>
      <w:r w:rsidR="006F4D99">
        <w:t xml:space="preserve"> for a new business, with </w:t>
      </w:r>
      <w:r w:rsidR="006F4D99" w:rsidRPr="008C517B">
        <w:rPr>
          <w:i/>
        </w:rPr>
        <w:t>no</w:t>
      </w:r>
      <w:r w:rsidR="006F4D99">
        <w:t xml:space="preserve"> profit history.  </w:t>
      </w:r>
      <w:r w:rsidR="006F4D99">
        <w:rPr>
          <w:i/>
        </w:rPr>
        <w:t>Id.</w:t>
      </w:r>
      <w:r w:rsidR="006F4D99">
        <w:t xml:space="preserve"> at ¶ 27 (“Where a new business has no previous profit history . . . the party </w:t>
      </w:r>
      <w:r w:rsidR="006F4D99">
        <w:lastRenderedPageBreak/>
        <w:t>seeking lost profits must present credible comparable evidence or business history and business experience sufficient to allow a fact finding to reasonable ascertain future lost profits.”).  As such, it is</w:t>
      </w:r>
      <w:r w:rsidR="008C517B">
        <w:t xml:space="preserve"> readily</w:t>
      </w:r>
      <w:r w:rsidR="006F4D99">
        <w:t xml:space="preserve"> distinguishable from this case</w:t>
      </w:r>
      <w:r w:rsidR="008C517B">
        <w:t xml:space="preserve">.  </w:t>
      </w:r>
      <w:r w:rsidR="006F4D99">
        <w:t xml:space="preserve">A&amp;B </w:t>
      </w:r>
      <w:r w:rsidR="008C517B">
        <w:t>h</w:t>
      </w:r>
      <w:r w:rsidR="006F4D99">
        <w:t>as</w:t>
      </w:r>
      <w:r w:rsidR="008C517B">
        <w:t xml:space="preserve"> been</w:t>
      </w:r>
      <w:r w:rsidR="006F4D99">
        <w:t xml:space="preserve"> operating</w:t>
      </w:r>
      <w:r w:rsidR="008C517B">
        <w:t xml:space="preserve"> and</w:t>
      </w:r>
      <w:r w:rsidR="006F4D99">
        <w:t xml:space="preserve"> selling Heggie’s pizza for </w:t>
      </w:r>
      <w:r w:rsidR="008C517B">
        <w:t>a</w:t>
      </w:r>
      <w:r w:rsidR="006F4D99">
        <w:t>pproximately 14 years before the dealership agreement was terminated.  A&amp;B’s profits during this period of time fal</w:t>
      </w:r>
      <w:r w:rsidR="008C517B">
        <w:t>ls well</w:t>
      </w:r>
      <w:r w:rsidR="006F4D99">
        <w:t xml:space="preserve"> within </w:t>
      </w:r>
      <w:r>
        <w:t>Vucicevic</w:t>
      </w:r>
      <w:r w:rsidR="006F4D99">
        <w:t>’s personal knowledge and</w:t>
      </w:r>
      <w:r w:rsidR="008C517B">
        <w:t xml:space="preserve"> is</w:t>
      </w:r>
      <w:r w:rsidR="006F4D99">
        <w:t xml:space="preserve"> also appropriately characterized as fact testimony.  Moreover, Vucicevic as the “owner of an established business with a documented history of profits may testify to his expectation of continued or expanded profits when that opinion is based on his knowledge and participation in the day-to-day affairs of his business.”  </w:t>
      </w:r>
      <w:r w:rsidR="006F4D99">
        <w:rPr>
          <w:i/>
        </w:rPr>
        <w:t>V</w:t>
      </w:r>
      <w:r w:rsidR="006F4D99" w:rsidRPr="006F4D99">
        <w:rPr>
          <w:i/>
        </w:rPr>
        <w:t>on der Ruhr v. Immtech Int</w:t>
      </w:r>
      <w:r w:rsidR="006F4D99">
        <w:rPr>
          <w:i/>
        </w:rPr>
        <w:t>’</w:t>
      </w:r>
      <w:r w:rsidR="006F4D99" w:rsidRPr="006F4D99">
        <w:rPr>
          <w:i/>
        </w:rPr>
        <w:t>l, Inc</w:t>
      </w:r>
      <w:r w:rsidR="006F4D99" w:rsidRPr="006F4D99">
        <w:t>., 570 F.3d 858, 862 (7th Cir. 2009)</w:t>
      </w:r>
      <w:r w:rsidR="006F4D99">
        <w:t xml:space="preserve"> (internal citation, quotation marks and alteration omitted)</w:t>
      </w:r>
      <w:r w:rsidR="008C517B">
        <w:t xml:space="preserve">; </w:t>
      </w:r>
      <w:r w:rsidR="008C517B">
        <w:rPr>
          <w:i/>
        </w:rPr>
        <w:t>see also</w:t>
      </w:r>
      <w:r w:rsidR="008C517B">
        <w:t xml:space="preserve"> Fed. R. Evid. 701 (allowing lay testimony in the form of opinion and inferences subject to certain limitations)</w:t>
      </w:r>
      <w:r w:rsidR="006F4D99">
        <w:t xml:space="preserve">.  </w:t>
      </w:r>
      <w:r w:rsidR="008C517B">
        <w:t>Having said that, t</w:t>
      </w:r>
      <w:r w:rsidR="006F4D99">
        <w:t>he court agrees with defendant that plaintiff may not introduce expert testimony at trial given that it disclose</w:t>
      </w:r>
      <w:r w:rsidR="008C517B">
        <w:t>d none under Rule 26</w:t>
      </w:r>
      <w:r w:rsidR="006F4D99">
        <w:t>, nor may Vucicevic’s testimony cross over into expert terrain, though plaintiff represents that it has no intent to do either.</w:t>
      </w:r>
      <w:r w:rsidR="008C517B">
        <w:rPr>
          <w:rStyle w:val="FootnoteReference"/>
        </w:rPr>
        <w:footnoteReference w:id="2"/>
      </w:r>
    </w:p>
    <w:p w14:paraId="0EA141A3" w14:textId="77777777" w:rsidR="006F4D99" w:rsidRDefault="008C517B" w:rsidP="006F4D99">
      <w:pPr>
        <w:pStyle w:val="DoubleIndent"/>
      </w:pPr>
      <w:r>
        <w:t>As for d</w:t>
      </w:r>
      <w:r w:rsidR="006F4D99">
        <w:t>efendant</w:t>
      </w:r>
      <w:r>
        <w:t>’s second, more hyperbolic objection</w:t>
      </w:r>
      <w:r w:rsidR="006F4D99">
        <w:t xml:space="preserve"> </w:t>
      </w:r>
      <w:r>
        <w:t xml:space="preserve">to </w:t>
      </w:r>
      <w:r w:rsidR="006F4D99">
        <w:t xml:space="preserve">plaintiff’s </w:t>
      </w:r>
      <w:r w:rsidR="006F4D99" w:rsidRPr="008C517B">
        <w:rPr>
          <w:i/>
        </w:rPr>
        <w:t>method</w:t>
      </w:r>
      <w:r w:rsidR="006F4D99">
        <w:t xml:space="preserve"> of calculating lost profits,</w:t>
      </w:r>
      <w:r>
        <w:t xml:space="preserve"> it boils down to an</w:t>
      </w:r>
      <w:r w:rsidR="006F4D99">
        <w:t xml:space="preserve"> argument that plaintiff failed to account for all of its expenses in </w:t>
      </w:r>
      <w:r w:rsidR="009003E8">
        <w:t>relying on historical profits to project future los</w:t>
      </w:r>
      <w:r>
        <w:t>t</w:t>
      </w:r>
      <w:r w:rsidR="009003E8">
        <w:t xml:space="preserve"> profits. </w:t>
      </w:r>
      <w:r>
        <w:t xml:space="preserve"> However,</w:t>
      </w:r>
      <w:r w:rsidR="009003E8">
        <w:t xml:space="preserve"> </w:t>
      </w:r>
      <w:r>
        <w:t>a</w:t>
      </w:r>
      <w:r w:rsidR="009003E8">
        <w:t>ll of this is proper fodder for cross-examination</w:t>
      </w:r>
      <w:r>
        <w:t>,</w:t>
      </w:r>
      <w:r w:rsidR="009003E8">
        <w:t xml:space="preserve"> not a basis for excluding evidence or testimony</w:t>
      </w:r>
      <w:r>
        <w:t xml:space="preserve"> on plaintiff’s claim for lost profits</w:t>
      </w:r>
      <w:r w:rsidR="009003E8">
        <w:t xml:space="preserve">.  Accordingly, this motion is DENIED, with the caveat </w:t>
      </w:r>
      <w:r w:rsidR="009003E8">
        <w:lastRenderedPageBreak/>
        <w:t xml:space="preserve">that plaintiff </w:t>
      </w:r>
      <w:r>
        <w:t xml:space="preserve">may </w:t>
      </w:r>
      <w:r w:rsidR="009003E8">
        <w:t>not offer expert testimony in support of its damages claim.</w:t>
      </w:r>
    </w:p>
    <w:p w14:paraId="5B5FD165" w14:textId="77777777" w:rsidR="009003E8" w:rsidRDefault="009003E8" w:rsidP="009003E8">
      <w:pPr>
        <w:pStyle w:val="Heading3"/>
      </w:pPr>
      <w:r>
        <w:t>MIL No. 5: preclude A&amp;B from seeking emotional distress damages (dkt. #60)</w:t>
      </w:r>
    </w:p>
    <w:p w14:paraId="05F0FEF7" w14:textId="77777777" w:rsidR="009003E8" w:rsidRDefault="009003E8" w:rsidP="009003E8">
      <w:pPr>
        <w:pStyle w:val="DoubleIndent"/>
      </w:pPr>
      <w:r>
        <w:t>In this motion, defendant seeks an order precluding Vucicevic from seeking damages for emotional distress, on the basis that only A&amp;B asserted a claim for violation of the WFDL.  Plaintiff does not oppose this motion.  As such, it is GRANTED as unopposed.</w:t>
      </w:r>
    </w:p>
    <w:p w14:paraId="0971F318" w14:textId="77777777" w:rsidR="009003E8" w:rsidRDefault="009003E8" w:rsidP="009003E8">
      <w:pPr>
        <w:pStyle w:val="Heading3"/>
      </w:pPr>
      <w:bookmarkStart w:id="2" w:name="_Hlk26954468"/>
      <w:r>
        <w:t>MIL No. 6: preclude A&amp;B from claiming Al Vucicevic’s salary as damages (dkt. #61)</w:t>
      </w:r>
    </w:p>
    <w:bookmarkEnd w:id="2"/>
    <w:p w14:paraId="73879D62" w14:textId="77777777" w:rsidR="009003E8" w:rsidRDefault="009003E8" w:rsidP="009003E8">
      <w:pPr>
        <w:pStyle w:val="DoubleIndent"/>
      </w:pPr>
      <w:r>
        <w:t>Defendant seeks to exclude plaintiff from seeking the $20,000 it paid Vucicevic as a salary each</w:t>
      </w:r>
      <w:r w:rsidR="00900E0D">
        <w:t xml:space="preserve"> year</w:t>
      </w:r>
      <w:r>
        <w:t xml:space="preserve"> according to A&amp;B’s tax returns as part of its lost profits damages theory</w:t>
      </w:r>
      <w:r w:rsidR="00900E0D">
        <w:t xml:space="preserve"> on the grounds</w:t>
      </w:r>
      <w:r>
        <w:t xml:space="preserve"> that this salary is an expense of the corporate plaintiff and</w:t>
      </w:r>
      <w:r w:rsidR="00900E0D">
        <w:t>,</w:t>
      </w:r>
      <w:r>
        <w:t xml:space="preserve"> therefore</w:t>
      </w:r>
      <w:r w:rsidR="00900E0D">
        <w:t>,</w:t>
      </w:r>
      <w:r>
        <w:t xml:space="preserve"> “not in the bucket of damages available to A&amp;B.”  (Def.’s Mot. (dkt. #61) 2.)  In response, plaintiff acknowledges that Vucicevic’s salary is one of A&amp;B’s expenses, but given the nature of the business -- namely, that Vucicevic is the sole employee and owner -- “A&amp;B’s profits and Mr. Vuci</w:t>
      </w:r>
      <w:r w:rsidR="00005675">
        <w:t>c</w:t>
      </w:r>
      <w:r>
        <w:t>evic’s salary go hand and hand.”  (Pl.’s Opp’n (dkt. #74) 6.)  Plaintiff contends that defendant is free to argue that the jury should not count his salary as profit in determining damages, but that this evidence</w:t>
      </w:r>
      <w:r w:rsidR="0098244E">
        <w:t xml:space="preserve"> or plaintiff’s argument to the contrary</w:t>
      </w:r>
      <w:r>
        <w:t xml:space="preserve"> should not be excluded.  The court </w:t>
      </w:r>
      <w:r w:rsidR="0098244E">
        <w:t>is incl</w:t>
      </w:r>
      <w:r w:rsidR="00900E0D">
        <w:t>ined</w:t>
      </w:r>
      <w:r w:rsidR="0098244E">
        <w:t xml:space="preserve"> to agree with plaintiff</w:t>
      </w:r>
      <w:r w:rsidR="00900E0D">
        <w:t>,</w:t>
      </w:r>
      <w:r w:rsidR="0098244E">
        <w:t xml:space="preserve"> but</w:t>
      </w:r>
      <w:r w:rsidR="00900E0D">
        <w:t xml:space="preserve"> urg</w:t>
      </w:r>
      <w:r w:rsidR="00C404C5">
        <w:t>e</w:t>
      </w:r>
      <w:r w:rsidR="00900E0D">
        <w:t xml:space="preserve">s </w:t>
      </w:r>
      <w:r w:rsidR="00900E0D">
        <w:rPr>
          <w:i/>
        </w:rPr>
        <w:t>both</w:t>
      </w:r>
      <w:r w:rsidR="00900E0D">
        <w:t xml:space="preserve"> sides to provide the court with any applicable case law on this subject in a case involving a small, closely-held LLC and</w:t>
      </w:r>
      <w:r w:rsidR="0098244E">
        <w:t xml:space="preserve"> will address this motion further at the final pretrial conference.  As such, this motion is RESERVED.</w:t>
      </w:r>
    </w:p>
    <w:p w14:paraId="34ADA540" w14:textId="77777777" w:rsidR="0098244E" w:rsidRDefault="0098244E" w:rsidP="0098244E">
      <w:pPr>
        <w:pStyle w:val="Heading3"/>
      </w:pPr>
      <w:r>
        <w:lastRenderedPageBreak/>
        <w:t xml:space="preserve">MIL No. 7: </w:t>
      </w:r>
      <w:r w:rsidR="00C45560">
        <w:t>prevent “Golden Rule” arguments (dkt. #62)</w:t>
      </w:r>
    </w:p>
    <w:p w14:paraId="04A94A6A" w14:textId="77777777" w:rsidR="00C45560" w:rsidRDefault="00C45560" w:rsidP="00C45560">
      <w:pPr>
        <w:pStyle w:val="DoubleIndent"/>
      </w:pPr>
      <w:r>
        <w:t xml:space="preserve">Next, defendant seeks an order precluding any “Golden Rule” arguments </w:t>
      </w:r>
      <w:r w:rsidR="00592A6C">
        <w:t>(</w:t>
      </w:r>
      <w:r>
        <w:t>e.g., asking the jury to put themselves in plaintiff’s position</w:t>
      </w:r>
      <w:r w:rsidR="00592A6C">
        <w:t>)</w:t>
      </w:r>
      <w:r>
        <w:t>.  Plaintiff does not oppose this motion.  As such, it is GRANTED as unopposed</w:t>
      </w:r>
      <w:r w:rsidR="00CC0104">
        <w:t>.  Of course</w:t>
      </w:r>
      <w:r>
        <w:t>,</w:t>
      </w:r>
      <w:r w:rsidR="00CC0104">
        <w:t xml:space="preserve"> this motion is also unnecessary, as</w:t>
      </w:r>
      <w:r>
        <w:t xml:space="preserve"> the court will preclude</w:t>
      </w:r>
      <w:r w:rsidR="00CC0104">
        <w:t xml:space="preserve"> both sides</w:t>
      </w:r>
      <w:r>
        <w:t xml:space="preserve"> from making any “Golden Rule” argument</w:t>
      </w:r>
      <w:r w:rsidR="00CC0104">
        <w:t xml:space="preserve"> or from violating any other straightforward prohibition under the Federal Rules of Evidence</w:t>
      </w:r>
      <w:r>
        <w:t>.</w:t>
      </w:r>
    </w:p>
    <w:p w14:paraId="6D9886E4" w14:textId="77777777" w:rsidR="00C45560" w:rsidRDefault="00C45560" w:rsidP="00C45560">
      <w:pPr>
        <w:pStyle w:val="Heading3"/>
      </w:pPr>
      <w:bookmarkStart w:id="3" w:name="_Hlk26955688"/>
      <w:r>
        <w:t>MIL No. 8: preclude A&amp;B from presenting argument or evidence that Heggie’s disputed A&amp;B’s distributorship statue (dkt. #63)</w:t>
      </w:r>
    </w:p>
    <w:bookmarkEnd w:id="3"/>
    <w:p w14:paraId="0F7BD67C" w14:textId="77777777" w:rsidR="00C45560" w:rsidRDefault="00C45560" w:rsidP="00C45560">
      <w:pPr>
        <w:pStyle w:val="DoubleIndent"/>
      </w:pPr>
      <w:r>
        <w:t>In this motion, defendant</w:t>
      </w:r>
      <w:r w:rsidR="00C9610A">
        <w:t xml:space="preserve"> essentially</w:t>
      </w:r>
      <w:r>
        <w:t xml:space="preserve"> seeks an order precluding plaintiff from presenting any evidence, testimony or argument that defendant disputed A&amp;B’s dealership status, in light of the court’s finding at summary judgment that A&amp;B is a distributor under the WFDL.  Defendant contends that such evidence is either not relevant to any jury determination or would be unduly prejudicial.</w:t>
      </w:r>
      <w:r w:rsidR="00C9610A">
        <w:t xml:space="preserve">  In addition, </w:t>
      </w:r>
      <w:r w:rsidR="00C404C5">
        <w:t xml:space="preserve">since </w:t>
      </w:r>
      <w:r w:rsidR="00C9610A">
        <w:t>defendant concede</w:t>
      </w:r>
      <w:r w:rsidR="00C404C5">
        <w:t>s</w:t>
      </w:r>
      <w:r w:rsidR="00C9610A">
        <w:t xml:space="preserve"> that it terminated A&amp;B within the meaning of the WFDL </w:t>
      </w:r>
      <w:r w:rsidR="00C404C5">
        <w:t>and will have</w:t>
      </w:r>
      <w:r w:rsidR="00C9610A">
        <w:t xml:space="preserve"> the burden t</w:t>
      </w:r>
      <w:r w:rsidR="00C404C5">
        <w:t>o</w:t>
      </w:r>
      <w:r w:rsidR="00C9610A">
        <w:t xml:space="preserve"> show “good cause” for doing so, it should be allowed to present its </w:t>
      </w:r>
      <w:r w:rsidR="00C404C5">
        <w:t>case-in-chief first</w:t>
      </w:r>
      <w:r w:rsidR="00C9610A">
        <w:t>.</w:t>
      </w:r>
    </w:p>
    <w:p w14:paraId="1CE01E0D" w14:textId="77777777" w:rsidR="00C45560" w:rsidRDefault="00A4280D" w:rsidP="00C45560">
      <w:pPr>
        <w:pStyle w:val="DoubleIndent"/>
      </w:pPr>
      <w:r>
        <w:t>As to the substance of the motion, p</w:t>
      </w:r>
      <w:r w:rsidR="00C45560">
        <w:t>laintiff does not oppose</w:t>
      </w:r>
      <w:r>
        <w:t xml:space="preserve"> it </w:t>
      </w:r>
      <w:r>
        <w:rPr>
          <w:i/>
        </w:rPr>
        <w:t>provided</w:t>
      </w:r>
      <w:r>
        <w:t xml:space="preserve"> plaintiff is</w:t>
      </w:r>
      <w:r w:rsidR="00C45560">
        <w:t xml:space="preserve"> not limit</w:t>
      </w:r>
      <w:r>
        <w:t xml:space="preserve">ed </w:t>
      </w:r>
      <w:r w:rsidR="00C45560">
        <w:t>from</w:t>
      </w:r>
      <w:r>
        <w:t xml:space="preserve"> offering</w:t>
      </w:r>
      <w:r w:rsidR="00C45560">
        <w:t xml:space="preserve"> </w:t>
      </w:r>
      <w:r w:rsidR="00C404C5">
        <w:t xml:space="preserve">evidence </w:t>
      </w:r>
      <w:r w:rsidR="00C45560">
        <w:t>“as to conversations that took place prior to the date of termination.”  (Pl’s Opp’n (dkt. #74) 7.)  The court</w:t>
      </w:r>
      <w:r>
        <w:t xml:space="preserve"> generally agrees with</w:t>
      </w:r>
      <w:r w:rsidR="00C45560">
        <w:t xml:space="preserve"> defendant’s argument</w:t>
      </w:r>
      <w:r>
        <w:t xml:space="preserve"> that</w:t>
      </w:r>
      <w:r w:rsidR="00C45560">
        <w:t xml:space="preserve"> plaintiff</w:t>
      </w:r>
      <w:r>
        <w:t xml:space="preserve"> should be precluded from</w:t>
      </w:r>
      <w:r w:rsidR="00C45560">
        <w:t xml:space="preserve"> defendant</w:t>
      </w:r>
      <w:r>
        <w:t>’s past dispute as to the applicability of</w:t>
      </w:r>
      <w:r w:rsidR="00C45560">
        <w:t xml:space="preserve"> the WFDL </w:t>
      </w:r>
      <w:r>
        <w:t xml:space="preserve">to </w:t>
      </w:r>
      <w:r w:rsidR="00C45560">
        <w:t>this action</w:t>
      </w:r>
      <w:r>
        <w:t xml:space="preserve">, and since it is unopposed, </w:t>
      </w:r>
      <w:r w:rsidR="00C45560">
        <w:t>the court</w:t>
      </w:r>
      <w:r>
        <w:t xml:space="preserve"> will grant this portion of the</w:t>
      </w:r>
      <w:r w:rsidR="00C45560">
        <w:t xml:space="preserve"> motion.  </w:t>
      </w:r>
      <w:r>
        <w:t xml:space="preserve">Less </w:t>
      </w:r>
      <w:r w:rsidR="00C45560">
        <w:t>clear, however,</w:t>
      </w:r>
      <w:r>
        <w:t xml:space="preserve"> is</w:t>
      </w:r>
      <w:r w:rsidR="00C45560">
        <w:t xml:space="preserve"> whether or how </w:t>
      </w:r>
      <w:r>
        <w:t xml:space="preserve">past </w:t>
      </w:r>
      <w:r w:rsidR="00C45560">
        <w:t>conversations</w:t>
      </w:r>
      <w:r>
        <w:t xml:space="preserve"> that </w:t>
      </w:r>
      <w:r>
        <w:lastRenderedPageBreak/>
        <w:t>may</w:t>
      </w:r>
      <w:r w:rsidR="00C45560">
        <w:t xml:space="preserve"> touch on defendant’s position that the WDFL did not apply</w:t>
      </w:r>
      <w:r>
        <w:t xml:space="preserve"> will be introduced at trial</w:t>
      </w:r>
      <w:r w:rsidR="00C45560">
        <w:t>.  As such, th</w:t>
      </w:r>
      <w:r>
        <w:t>is motion is GRANTED IN PART AND</w:t>
      </w:r>
      <w:r w:rsidR="00C45560">
        <w:t xml:space="preserve"> RESERVE</w:t>
      </w:r>
      <w:r>
        <w:t>D IN PART</w:t>
      </w:r>
      <w:r w:rsidR="00C45560">
        <w:t>, pending further discussion at the final pretrial conference.</w:t>
      </w:r>
    </w:p>
    <w:p w14:paraId="5CEDABBE" w14:textId="77777777" w:rsidR="00C45560" w:rsidRDefault="00A4280D" w:rsidP="00C45560">
      <w:pPr>
        <w:pStyle w:val="DoubleIndent"/>
      </w:pPr>
      <w:r>
        <w:t xml:space="preserve">As to defendant’s </w:t>
      </w:r>
      <w:r w:rsidR="00C404C5">
        <w:t>concession that it terminated A&amp;B</w:t>
      </w:r>
      <w:r w:rsidR="00C45560">
        <w:t>,</w:t>
      </w:r>
      <w:r>
        <w:t xml:space="preserve"> </w:t>
      </w:r>
      <w:r w:rsidR="00C45560">
        <w:t>plaintiff questions whether defendant’s motion</w:t>
      </w:r>
      <w:r>
        <w:t xml:space="preserve"> is</w:t>
      </w:r>
      <w:r w:rsidR="00C45560">
        <w:t xml:space="preserve"> conced</w:t>
      </w:r>
      <w:r>
        <w:t>ing</w:t>
      </w:r>
      <w:r w:rsidR="00C45560">
        <w:t xml:space="preserve"> that it terminated the dealership </w:t>
      </w:r>
      <w:r w:rsidR="00C45560" w:rsidRPr="00A4280D">
        <w:rPr>
          <w:i/>
        </w:rPr>
        <w:t>during the A</w:t>
      </w:r>
      <w:r w:rsidRPr="00A4280D">
        <w:rPr>
          <w:i/>
        </w:rPr>
        <w:t>ugust</w:t>
      </w:r>
      <w:r w:rsidR="00C45560" w:rsidRPr="00A4280D">
        <w:rPr>
          <w:i/>
        </w:rPr>
        <w:t xml:space="preserve"> 17, 2018, telephone call</w:t>
      </w:r>
      <w:r w:rsidR="00C45560">
        <w:t>, and, in turn,</w:t>
      </w:r>
      <w:r>
        <w:t xml:space="preserve"> violated the notice provision of the WFDL.  Certainly, these questions have a bearing as to the best way to structure the trial, including</w:t>
      </w:r>
      <w:r w:rsidR="00C45560">
        <w:t xml:space="preserve"> whether this means that defendant should present its</w:t>
      </w:r>
      <w:r>
        <w:t xml:space="preserve"> liability</w:t>
      </w:r>
      <w:r w:rsidR="00C45560">
        <w:t xml:space="preserve"> case-in-chief</w:t>
      </w:r>
      <w:r>
        <w:t xml:space="preserve"> first</w:t>
      </w:r>
      <w:r w:rsidR="00C45560">
        <w:t xml:space="preserve">.  </w:t>
      </w:r>
      <w:r>
        <w:t>However, t</w:t>
      </w:r>
      <w:r w:rsidR="00C45560">
        <w:t>he court does not view defendant’s motion as conceding that the dealership was terminated during th</w:t>
      </w:r>
      <w:r w:rsidR="00C404C5">
        <w:t>at</w:t>
      </w:r>
      <w:r w:rsidR="00C45560">
        <w:t xml:space="preserve"> call</w:t>
      </w:r>
      <w:r w:rsidR="00C404C5">
        <w:t xml:space="preserve"> or any time before its written notice on September 6, 2018</w:t>
      </w:r>
      <w:r>
        <w:t>.  Regardless</w:t>
      </w:r>
      <w:r w:rsidR="00C45560">
        <w:t xml:space="preserve">, </w:t>
      </w:r>
      <w:r>
        <w:t xml:space="preserve">the court </w:t>
      </w:r>
      <w:r w:rsidR="00C45560">
        <w:t>will discuss these issues with the parties at the final pretrial conference.</w:t>
      </w:r>
    </w:p>
    <w:p w14:paraId="24E27BC1" w14:textId="77777777" w:rsidR="00492434" w:rsidRDefault="00492434" w:rsidP="00492434">
      <w:pPr>
        <w:pStyle w:val="Heading3"/>
      </w:pPr>
      <w:bookmarkStart w:id="4" w:name="_Hlk26958585"/>
      <w:r>
        <w:t>MIL No. 9: preclude A&amp;B from seeking damages beyond 90 days if the jury finds there was “good cause” to terminate (dkt. #64)</w:t>
      </w:r>
    </w:p>
    <w:bookmarkEnd w:id="4"/>
    <w:p w14:paraId="1FB26BE3" w14:textId="77777777" w:rsidR="00A23262" w:rsidRDefault="00492434" w:rsidP="00A23262">
      <w:pPr>
        <w:pStyle w:val="DoubleIndent"/>
      </w:pPr>
      <w:r>
        <w:t xml:space="preserve">In this motion, defendant seeks to exclude any claim for damages </w:t>
      </w:r>
      <w:r w:rsidR="0080099E">
        <w:t xml:space="preserve">beyond the 90-day notice period if the jury finds that defendant had good cause to terminate as set forth in </w:t>
      </w:r>
      <w:r w:rsidR="00755E0F">
        <w:t>its</w:t>
      </w:r>
      <w:r w:rsidR="0080099E">
        <w:t xml:space="preserve"> September 6</w:t>
      </w:r>
      <w:r w:rsidR="00C404C5">
        <w:t xml:space="preserve"> </w:t>
      </w:r>
      <w:r w:rsidR="00755E0F">
        <w:t xml:space="preserve">letter, </w:t>
      </w:r>
      <w:r w:rsidR="00C404C5">
        <w:t>even if</w:t>
      </w:r>
      <w:r w:rsidR="0080099E">
        <w:t xml:space="preserve"> the dealership was</w:t>
      </w:r>
      <w:r w:rsidR="00755E0F">
        <w:t xml:space="preserve"> </w:t>
      </w:r>
      <w:r w:rsidR="0080099E">
        <w:t xml:space="preserve">actually terminated during the earlier August 17, 2018, telephone call.  In support, defendant cites to </w:t>
      </w:r>
      <w:r w:rsidR="0080099E">
        <w:rPr>
          <w:i/>
        </w:rPr>
        <w:t>Moodie v. School Book Fairs</w:t>
      </w:r>
      <w:r w:rsidR="0080099E">
        <w:t xml:space="preserve">, 889 F.2d 739 (7th Cir. 1989), in which the Seventh Circuit held that </w:t>
      </w:r>
      <w:r w:rsidR="00A23262">
        <w:t xml:space="preserve">where the notice was deficient but the defendant established good cause for termination, the plaintiff is limited to damages sustained during the 90-day period, </w:t>
      </w:r>
      <w:r w:rsidR="0080099E">
        <w:t>absent a finding that the plaintiff would have cured the defect</w:t>
      </w:r>
      <w:r w:rsidR="00A23262">
        <w:t>.</w:t>
      </w:r>
      <w:r w:rsidR="00755E0F">
        <w:t xml:space="preserve">  </w:t>
      </w:r>
      <w:r w:rsidR="00755E0F">
        <w:rPr>
          <w:i/>
        </w:rPr>
        <w:t>Id</w:t>
      </w:r>
      <w:r w:rsidR="00755E0F">
        <w:t xml:space="preserve">. at 746; </w:t>
      </w:r>
      <w:r w:rsidR="00755E0F">
        <w:rPr>
          <w:i/>
        </w:rPr>
        <w:t>see also</w:t>
      </w:r>
      <w:r w:rsidR="00A23262">
        <w:t xml:space="preserve"> </w:t>
      </w:r>
      <w:r w:rsidR="00A23262" w:rsidRPr="00A23262">
        <w:rPr>
          <w:i/>
        </w:rPr>
        <w:t>The Wisconsin Compressed Air Corp. v. Gardner Denver, Inc</w:t>
      </w:r>
      <w:r w:rsidR="00A23262" w:rsidRPr="00A23262">
        <w:t>., 571 F. Supp. 2d 992, 1004 (W.D. Wis. 2008)</w:t>
      </w:r>
      <w:r w:rsidR="00A23262">
        <w:t xml:space="preserve"> (“</w:t>
      </w:r>
      <w:r w:rsidR="00A23262" w:rsidRPr="00A23262">
        <w:t xml:space="preserve">As for damages, plaintiff is </w:t>
      </w:r>
      <w:r w:rsidR="00A23262" w:rsidRPr="00A23262">
        <w:lastRenderedPageBreak/>
        <w:t xml:space="preserve">entitled to </w:t>
      </w:r>
      <w:r w:rsidR="00A23262">
        <w:t>‘</w:t>
      </w:r>
      <w:r w:rsidR="00A23262" w:rsidRPr="00A23262">
        <w:t>damages sustained [by it] as a consequence of the grantor</w:t>
      </w:r>
      <w:r w:rsidR="00A23262">
        <w:t>’</w:t>
      </w:r>
      <w:r w:rsidR="00A23262" w:rsidRPr="00A23262">
        <w:t>s violation</w:t>
      </w:r>
      <w:r w:rsidR="00A23262">
        <w:t>’</w:t>
      </w:r>
      <w:r w:rsidR="00A23262" w:rsidRPr="00A23262">
        <w:t xml:space="preserve"> of § 135.04 by failing to provide 90 days</w:t>
      </w:r>
      <w:r w:rsidR="00A23262">
        <w:t>’</w:t>
      </w:r>
      <w:r w:rsidR="00A23262" w:rsidRPr="00A23262">
        <w:t xml:space="preserve"> written notice. Wis. Stat. § 135.06. </w:t>
      </w:r>
      <w:r w:rsidR="00A23262">
        <w:t>‘</w:t>
      </w:r>
      <w:r w:rsidR="00A23262" w:rsidRPr="00A23262">
        <w:t>To determine the damages sustained, it is necessary for the court to predict the profits that [plaintiff] would have sustained without the violation.</w:t>
      </w:r>
      <w:r w:rsidR="00A23262">
        <w:t>’</w:t>
      </w:r>
      <w:r w:rsidR="00A23262" w:rsidRPr="00A23262">
        <w:t xml:space="preserve"> </w:t>
      </w:r>
      <w:r w:rsidR="00A23262">
        <w:t xml:space="preserve"> </w:t>
      </w:r>
      <w:r w:rsidR="00A23262" w:rsidRPr="00A23262">
        <w:rPr>
          <w:i/>
        </w:rPr>
        <w:t>Moodie</w:t>
      </w:r>
      <w:r w:rsidR="00A23262" w:rsidRPr="00A23262">
        <w:t>, 889 F.2d at 746.</w:t>
      </w:r>
      <w:r w:rsidR="00A23262">
        <w:t>”).</w:t>
      </w:r>
    </w:p>
    <w:p w14:paraId="1AE1B5F7" w14:textId="77777777" w:rsidR="00EF24C6" w:rsidRDefault="000934CC" w:rsidP="00A23262">
      <w:pPr>
        <w:pStyle w:val="DoubleIndent"/>
      </w:pPr>
      <w:r>
        <w:t xml:space="preserve">In response, plaintiff argues that if the jury finds that it was </w:t>
      </w:r>
      <w:r w:rsidR="00152B92">
        <w:t xml:space="preserve">already </w:t>
      </w:r>
      <w:r>
        <w:t xml:space="preserve">terminated during the August 17 call, then there was nothing to cure </w:t>
      </w:r>
      <w:r w:rsidR="008513A3">
        <w:t>by September 6</w:t>
      </w:r>
      <w:r>
        <w:t xml:space="preserve">, and its damages should not be limited to the 90-day period.  While true, the argument misses </w:t>
      </w:r>
      <w:r w:rsidR="00174767">
        <w:t xml:space="preserve">at least part of </w:t>
      </w:r>
      <w:r>
        <w:t>the point of defendant’s motion.  The subsequent September 6, 2018, letter provided notice of right to cure and listed steps that plaintiff would have to take.  Plaintiff is free to argue that these steps were not reasonable or proportionate in</w:t>
      </w:r>
      <w:r w:rsidR="00755E0F">
        <w:t xml:space="preserve"> response</w:t>
      </w:r>
      <w:r>
        <w:t xml:space="preserve"> </w:t>
      </w:r>
      <w:r w:rsidR="00755E0F">
        <w:t xml:space="preserve">to </w:t>
      </w:r>
      <w:r>
        <w:t>defendant</w:t>
      </w:r>
      <w:r w:rsidR="00755E0F">
        <w:t>’s</w:t>
      </w:r>
      <w:r>
        <w:t xml:space="preserve"> </w:t>
      </w:r>
      <w:r w:rsidR="00755E0F">
        <w:t xml:space="preserve">assertion of </w:t>
      </w:r>
      <w:r>
        <w:t>good cause</w:t>
      </w:r>
      <w:r w:rsidR="00755E0F">
        <w:t xml:space="preserve"> to</w:t>
      </w:r>
      <w:r>
        <w:t xml:space="preserve"> terminat</w:t>
      </w:r>
      <w:r w:rsidR="00755E0F">
        <w:t>e</w:t>
      </w:r>
      <w:r>
        <w:t>,</w:t>
      </w:r>
      <w:r w:rsidR="00755E0F">
        <w:t xml:space="preserve"> or to prove that it could have cured,</w:t>
      </w:r>
      <w:r>
        <w:t xml:space="preserve"> but if the jury concludes that defendant had good cause, then </w:t>
      </w:r>
      <w:r>
        <w:rPr>
          <w:i/>
        </w:rPr>
        <w:t>Moodie</w:t>
      </w:r>
      <w:r w:rsidR="00152B92">
        <w:rPr>
          <w:i/>
        </w:rPr>
        <w:t xml:space="preserve"> </w:t>
      </w:r>
      <w:r w:rsidR="00152B92">
        <w:t xml:space="preserve">limited plaintiff’s </w:t>
      </w:r>
      <w:r>
        <w:t xml:space="preserve">damages to </w:t>
      </w:r>
      <w:r w:rsidR="00152B92">
        <w:t>a</w:t>
      </w:r>
      <w:r>
        <w:t xml:space="preserve"> 90-day period</w:t>
      </w:r>
      <w:r w:rsidR="00152B92">
        <w:t xml:space="preserve"> </w:t>
      </w:r>
      <w:r w:rsidR="00EF24C6" w:rsidRPr="00152B92">
        <w:rPr>
          <w:i/>
        </w:rPr>
        <w:t>unless</w:t>
      </w:r>
      <w:r w:rsidR="00EF24C6">
        <w:t xml:space="preserve"> plaintiff </w:t>
      </w:r>
      <w:r w:rsidR="00575609">
        <w:t>could and would</w:t>
      </w:r>
      <w:r w:rsidR="00EF24C6">
        <w:t xml:space="preserve"> have cured</w:t>
      </w:r>
      <w:r w:rsidR="00546BD4">
        <w:t>.</w:t>
      </w:r>
      <w:r>
        <w:t xml:space="preserve"> </w:t>
      </w:r>
    </w:p>
    <w:p w14:paraId="600E77AE" w14:textId="77777777" w:rsidR="00453C00" w:rsidRDefault="00453C00" w:rsidP="00A23262">
      <w:pPr>
        <w:pStyle w:val="DoubleIndent"/>
      </w:pPr>
      <w:r>
        <w:t xml:space="preserve">In other words, </w:t>
      </w:r>
      <w:r w:rsidR="00152B92">
        <w:t xml:space="preserve">consistent with the attached, </w:t>
      </w:r>
      <w:r>
        <w:t xml:space="preserve">proposed special verdict form, there are four possible outcomes </w:t>
      </w:r>
      <w:r w:rsidR="00575609">
        <w:t>from</w:t>
      </w:r>
      <w:r>
        <w:t xml:space="preserve"> the liability verdict:</w:t>
      </w:r>
    </w:p>
    <w:p w14:paraId="26123BD5" w14:textId="77777777" w:rsidR="00453C00" w:rsidRDefault="00453C00" w:rsidP="00453C00">
      <w:pPr>
        <w:pStyle w:val="DoubleIndent"/>
        <w:numPr>
          <w:ilvl w:val="0"/>
          <w:numId w:val="24"/>
        </w:numPr>
        <w:spacing w:after="240" w:line="240" w:lineRule="auto"/>
        <w:contextualSpacing w:val="0"/>
      </w:pPr>
      <w:r>
        <w:t xml:space="preserve">If the jury answers “yes” to the inadequate notice question and “yes” to </w:t>
      </w:r>
      <w:r w:rsidR="00152B92">
        <w:t xml:space="preserve">the </w:t>
      </w:r>
      <w:r>
        <w:t>good cause</w:t>
      </w:r>
      <w:r w:rsidR="00575609">
        <w:t xml:space="preserve"> question</w:t>
      </w:r>
      <w:r>
        <w:t xml:space="preserve">, then plaintiff’s damages are limited to </w:t>
      </w:r>
      <w:r w:rsidR="00152B92">
        <w:t xml:space="preserve">a </w:t>
      </w:r>
      <w:r>
        <w:t xml:space="preserve">90-day period unless plaintiff </w:t>
      </w:r>
      <w:r w:rsidR="00575609">
        <w:t>could and would have cured</w:t>
      </w:r>
      <w:r>
        <w:t>.</w:t>
      </w:r>
    </w:p>
    <w:p w14:paraId="248E2A41" w14:textId="77777777" w:rsidR="00453C00" w:rsidRDefault="00453C00" w:rsidP="00453C00">
      <w:pPr>
        <w:pStyle w:val="DoubleIndent"/>
        <w:numPr>
          <w:ilvl w:val="0"/>
          <w:numId w:val="24"/>
        </w:numPr>
        <w:spacing w:after="240" w:line="240" w:lineRule="auto"/>
        <w:contextualSpacing w:val="0"/>
      </w:pPr>
      <w:r>
        <w:t xml:space="preserve">If the jury answers “yes” to the inadequate notice question and “no” to </w:t>
      </w:r>
      <w:r w:rsidR="00152B92">
        <w:t xml:space="preserve">the </w:t>
      </w:r>
      <w:r>
        <w:t>good cause</w:t>
      </w:r>
      <w:r w:rsidR="00575609">
        <w:t xml:space="preserve"> question</w:t>
      </w:r>
      <w:r>
        <w:t>, then plaintiff may pursue its full damages claim.</w:t>
      </w:r>
    </w:p>
    <w:p w14:paraId="7CF7CB36" w14:textId="77777777" w:rsidR="00453C00" w:rsidRDefault="00453C00" w:rsidP="00453C00">
      <w:pPr>
        <w:pStyle w:val="DoubleIndent"/>
        <w:numPr>
          <w:ilvl w:val="0"/>
          <w:numId w:val="24"/>
        </w:numPr>
        <w:spacing w:after="240" w:line="240" w:lineRule="auto"/>
        <w:contextualSpacing w:val="0"/>
      </w:pPr>
      <w:r>
        <w:t xml:space="preserve">If the jury answers “no” to the inadequate notice question and “yes” to </w:t>
      </w:r>
      <w:r w:rsidR="00152B92">
        <w:t xml:space="preserve">the </w:t>
      </w:r>
      <w:r>
        <w:t>good cause</w:t>
      </w:r>
      <w:r w:rsidR="00575609">
        <w:t xml:space="preserve"> question</w:t>
      </w:r>
      <w:r>
        <w:t>, then there is no damages phase of trial.</w:t>
      </w:r>
    </w:p>
    <w:p w14:paraId="493BE162" w14:textId="77777777" w:rsidR="00453C00" w:rsidRDefault="00453C00" w:rsidP="00453C00">
      <w:pPr>
        <w:pStyle w:val="DoubleIndent"/>
        <w:numPr>
          <w:ilvl w:val="0"/>
          <w:numId w:val="24"/>
        </w:numPr>
        <w:spacing w:after="240" w:line="240" w:lineRule="auto"/>
        <w:contextualSpacing w:val="0"/>
      </w:pPr>
      <w:r>
        <w:t xml:space="preserve">If the jury answers “no” to inadequate notice question and “no” to </w:t>
      </w:r>
      <w:r w:rsidR="00152B92">
        <w:t xml:space="preserve">the </w:t>
      </w:r>
      <w:r>
        <w:t>good cause</w:t>
      </w:r>
      <w:r w:rsidR="00575609">
        <w:t xml:space="preserve"> question</w:t>
      </w:r>
      <w:r>
        <w:t>, then plaintiff may pursue its full damages claim.</w:t>
      </w:r>
    </w:p>
    <w:p w14:paraId="194255BB" w14:textId="77777777" w:rsidR="00575609" w:rsidRDefault="000934CC" w:rsidP="00575609">
      <w:pPr>
        <w:pStyle w:val="DoubleIndent"/>
      </w:pPr>
      <w:r>
        <w:t xml:space="preserve">Defendant </w:t>
      </w:r>
      <w:r w:rsidR="00546BD4">
        <w:t>also argues that</w:t>
      </w:r>
      <w:r w:rsidR="00EF24C6">
        <w:t xml:space="preserve"> Vucicevic</w:t>
      </w:r>
      <w:r w:rsidR="00546BD4">
        <w:t xml:space="preserve"> </w:t>
      </w:r>
      <w:r>
        <w:t>conceded</w:t>
      </w:r>
      <w:r w:rsidR="00EF24C6">
        <w:t xml:space="preserve"> at his deposition</w:t>
      </w:r>
      <w:r>
        <w:t xml:space="preserve"> that </w:t>
      </w:r>
      <w:r w:rsidR="00EF24C6">
        <w:t>A&amp;B</w:t>
      </w:r>
      <w:r>
        <w:t xml:space="preserve"> could </w:t>
      </w:r>
      <w:r>
        <w:lastRenderedPageBreak/>
        <w:t>not have cured</w:t>
      </w:r>
      <w:r w:rsidR="00546BD4">
        <w:t>.  (Def.’s Br. (dkt. #63) 2.)  But</w:t>
      </w:r>
      <w:r w:rsidR="00EF24C6">
        <w:t xml:space="preserve"> Vucicevic merely testified that A&amp;B did </w:t>
      </w:r>
      <w:r w:rsidR="00EF24C6">
        <w:rPr>
          <w:i/>
        </w:rPr>
        <w:t>not</w:t>
      </w:r>
      <w:r w:rsidR="00EF24C6">
        <w:t xml:space="preserve"> cure</w:t>
      </w:r>
      <w:r w:rsidR="00546BD4">
        <w:t>,</w:t>
      </w:r>
      <w:r w:rsidR="00EF24C6">
        <w:t xml:space="preserve"> having already been wrongfully terminated.  </w:t>
      </w:r>
      <w:r w:rsidR="00152B92">
        <w:t xml:space="preserve">(Vucicevic Dep. (dkt. #27) 175-77.)  </w:t>
      </w:r>
      <w:r w:rsidR="00575609">
        <w:t xml:space="preserve">Plaintiff could still present evidence, if it exists, and argue that it </w:t>
      </w:r>
      <w:r w:rsidR="00575609" w:rsidRPr="00575609">
        <w:rPr>
          <w:i/>
        </w:rPr>
        <w:t>could</w:t>
      </w:r>
      <w:r w:rsidR="00575609">
        <w:rPr>
          <w:i/>
        </w:rPr>
        <w:t xml:space="preserve"> and would</w:t>
      </w:r>
      <w:r w:rsidR="00575609" w:rsidRPr="00575609">
        <w:rPr>
          <w:i/>
        </w:rPr>
        <w:t xml:space="preserve"> have</w:t>
      </w:r>
      <w:r w:rsidR="00575609">
        <w:t xml:space="preserve"> cured.  </w:t>
      </w:r>
      <w:r w:rsidR="00546BD4">
        <w:t xml:space="preserve">Accordingly, </w:t>
      </w:r>
      <w:r w:rsidR="00120D18">
        <w:t>defendant’s</w:t>
      </w:r>
      <w:r w:rsidR="00546BD4">
        <w:t xml:space="preserve"> motion is GRANTED IN PART AND DENIED IN PART.  The court’s ruling will</w:t>
      </w:r>
      <w:r w:rsidR="00120D18">
        <w:t xml:space="preserve"> also</w:t>
      </w:r>
      <w:r w:rsidR="00546BD4">
        <w:t xml:space="preserve"> be reflected in proposed </w:t>
      </w:r>
      <w:r w:rsidR="00174767">
        <w:t xml:space="preserve">damages </w:t>
      </w:r>
      <w:r w:rsidR="00546BD4">
        <w:t>instructions and</w:t>
      </w:r>
      <w:r w:rsidR="00120D18">
        <w:t xml:space="preserve"> </w:t>
      </w:r>
      <w:r w:rsidR="00174767">
        <w:t>damages verdict form</w:t>
      </w:r>
      <w:r w:rsidR="00546BD4">
        <w:t>.</w:t>
      </w:r>
      <w:r w:rsidR="00A23262">
        <w:tab/>
      </w:r>
      <w:r w:rsidR="00A23262">
        <w:tab/>
      </w:r>
      <w:r w:rsidR="00A23262">
        <w:tab/>
      </w:r>
      <w:r w:rsidR="00A23262">
        <w:tab/>
      </w:r>
    </w:p>
    <w:p w14:paraId="20DF9458" w14:textId="77777777" w:rsidR="008707B1" w:rsidRDefault="008707B1" w:rsidP="00575609">
      <w:pPr>
        <w:pStyle w:val="Heading1"/>
      </w:pPr>
      <w:r w:rsidRPr="008707B1">
        <w:t>order</w:t>
      </w:r>
    </w:p>
    <w:p w14:paraId="3C4AAA4B" w14:textId="77777777" w:rsidR="008707B1" w:rsidRDefault="008707B1" w:rsidP="008707B1">
      <w:pPr>
        <w:pStyle w:val="DoubleIndent"/>
      </w:pPr>
      <w:r>
        <w:t>IT IS ORDERED that:</w:t>
      </w:r>
    </w:p>
    <w:p w14:paraId="1773CD2D" w14:textId="77777777" w:rsidR="008E3577" w:rsidRDefault="00546BD4" w:rsidP="008E3577">
      <w:pPr>
        <w:pStyle w:val="Heading7"/>
        <w:jc w:val="both"/>
      </w:pPr>
      <w:r>
        <w:t>Plaintiff A &amp; B Distributing, Inc.’s motion in limine (dkt. #50) is DENIED.</w:t>
      </w:r>
    </w:p>
    <w:p w14:paraId="5092E73A" w14:textId="77777777" w:rsidR="00546BD4" w:rsidRPr="00546BD4" w:rsidRDefault="00546BD4" w:rsidP="00546BD4">
      <w:pPr>
        <w:pStyle w:val="Heading7"/>
        <w:jc w:val="both"/>
      </w:pPr>
      <w:r>
        <w:t>Defendant Heggie’s Pizza, LLC’s motions in limine (dkt. #55) are GRANTED IN PART, DENIED IN PART AND RESERVED IN PART</w:t>
      </w:r>
      <w:r w:rsidR="00120D18">
        <w:t xml:space="preserve"> as set forth above</w:t>
      </w:r>
      <w:r>
        <w:t>.</w:t>
      </w:r>
    </w:p>
    <w:p w14:paraId="2EBD7889" w14:textId="77777777" w:rsidR="008707B1" w:rsidRDefault="008707B1" w:rsidP="008707B1">
      <w:pPr>
        <w:pStyle w:val="DoubleIndent"/>
      </w:pPr>
      <w:r>
        <w:t xml:space="preserve">Entered this </w:t>
      </w:r>
      <w:r w:rsidR="00120D18">
        <w:t>16th</w:t>
      </w:r>
      <w:r>
        <w:t xml:space="preserve"> day of </w:t>
      </w:r>
      <w:r w:rsidR="00AF2428">
        <w:t>December</w:t>
      </w:r>
      <w:r>
        <w:t>, 201</w:t>
      </w:r>
      <w:r w:rsidR="00445080">
        <w:t>9</w:t>
      </w:r>
      <w:r>
        <w:t>.</w:t>
      </w:r>
    </w:p>
    <w:p w14:paraId="35C5D8CA" w14:textId="77777777" w:rsidR="008707B1" w:rsidRDefault="008707B1" w:rsidP="008707B1">
      <w:pPr>
        <w:ind w:left="3600" w:firstLine="720"/>
        <w:jc w:val="both"/>
        <w:rPr>
          <w:rFonts w:ascii="Arrus BT" w:hAnsi="Arrus BT" w:cs="Arrus BT"/>
          <w:sz w:val="23"/>
          <w:szCs w:val="23"/>
        </w:rPr>
      </w:pPr>
      <w:r w:rsidRPr="007A1626">
        <w:rPr>
          <w:rFonts w:ascii="Arrus BT" w:hAnsi="Arrus BT" w:cs="Arrus BT"/>
          <w:sz w:val="23"/>
          <w:szCs w:val="23"/>
        </w:rPr>
        <w:t>BY THE COURT:</w:t>
      </w:r>
    </w:p>
    <w:p w14:paraId="021A9FFE" w14:textId="77777777" w:rsidR="008E3577" w:rsidRPr="007A1626" w:rsidRDefault="008E3577" w:rsidP="008707B1">
      <w:pPr>
        <w:jc w:val="both"/>
        <w:rPr>
          <w:rFonts w:ascii="Arrus BT" w:hAnsi="Arrus BT" w:cs="Arrus BT"/>
          <w:sz w:val="23"/>
          <w:szCs w:val="23"/>
        </w:rPr>
      </w:pPr>
    </w:p>
    <w:p w14:paraId="5278883F" w14:textId="77777777" w:rsidR="008707B1" w:rsidRPr="007A1626" w:rsidRDefault="008707B1" w:rsidP="008707B1">
      <w:pPr>
        <w:jc w:val="both"/>
        <w:rPr>
          <w:rFonts w:ascii="Arrus BT" w:hAnsi="Arrus BT" w:cs="Arrus BT"/>
          <w:sz w:val="23"/>
          <w:szCs w:val="23"/>
        </w:rPr>
      </w:pPr>
      <w:r>
        <w:rPr>
          <w:rFonts w:ascii="Arrus BT" w:hAnsi="Arrus BT" w:cs="Arrus BT"/>
          <w:sz w:val="23"/>
          <w:szCs w:val="23"/>
        </w:rPr>
        <w:tab/>
      </w:r>
      <w:r>
        <w:rPr>
          <w:rFonts w:ascii="Arrus BT" w:hAnsi="Arrus BT" w:cs="Arrus BT"/>
          <w:sz w:val="23"/>
          <w:szCs w:val="23"/>
        </w:rPr>
        <w:tab/>
      </w:r>
      <w:r>
        <w:rPr>
          <w:rFonts w:ascii="Arrus BT" w:hAnsi="Arrus BT" w:cs="Arrus BT"/>
          <w:sz w:val="23"/>
          <w:szCs w:val="23"/>
        </w:rPr>
        <w:tab/>
      </w:r>
      <w:r>
        <w:rPr>
          <w:rFonts w:ascii="Arrus BT" w:hAnsi="Arrus BT" w:cs="Arrus BT"/>
          <w:sz w:val="23"/>
          <w:szCs w:val="23"/>
        </w:rPr>
        <w:tab/>
      </w:r>
      <w:r>
        <w:rPr>
          <w:rFonts w:ascii="Arrus BT" w:hAnsi="Arrus BT" w:cs="Arrus BT"/>
          <w:sz w:val="23"/>
          <w:szCs w:val="23"/>
        </w:rPr>
        <w:tab/>
      </w:r>
      <w:r>
        <w:rPr>
          <w:rFonts w:ascii="Arrus BT" w:hAnsi="Arrus BT" w:cs="Arrus BT"/>
          <w:sz w:val="23"/>
          <w:szCs w:val="23"/>
        </w:rPr>
        <w:tab/>
      </w:r>
      <w:r w:rsidR="00152B92">
        <w:rPr>
          <w:rFonts w:ascii="Arrus BT" w:hAnsi="Arrus BT" w:cs="Arrus BT"/>
          <w:sz w:val="23"/>
          <w:szCs w:val="23"/>
        </w:rPr>
        <w:t>/s/</w:t>
      </w:r>
    </w:p>
    <w:p w14:paraId="750FC2D6" w14:textId="77777777" w:rsidR="008707B1" w:rsidRPr="007A1626" w:rsidRDefault="008707B1" w:rsidP="008707B1">
      <w:pPr>
        <w:jc w:val="both"/>
        <w:rPr>
          <w:rFonts w:ascii="Arrus BT" w:hAnsi="Arrus BT" w:cs="Arrus BT"/>
          <w:sz w:val="23"/>
          <w:szCs w:val="23"/>
        </w:rPr>
      </w:pP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r>
      <w:r w:rsidRPr="007A1626">
        <w:rPr>
          <w:rFonts w:ascii="Arrus BT" w:hAnsi="Arrus BT" w:cs="Arrus BT"/>
          <w:sz w:val="23"/>
          <w:szCs w:val="23"/>
        </w:rPr>
        <w:tab/>
        <w:t>__________________________________</w:t>
      </w:r>
    </w:p>
    <w:p w14:paraId="78B27670" w14:textId="77777777" w:rsidR="008707B1" w:rsidRPr="007A1626" w:rsidRDefault="008707B1" w:rsidP="008707B1">
      <w:pPr>
        <w:pStyle w:val="Single"/>
      </w:pPr>
      <w:r w:rsidRPr="007A1626">
        <w:tab/>
      </w:r>
      <w:r w:rsidRPr="007A1626">
        <w:tab/>
      </w:r>
      <w:r w:rsidRPr="007A1626">
        <w:tab/>
      </w:r>
      <w:r w:rsidRPr="007A1626">
        <w:tab/>
      </w:r>
      <w:r w:rsidRPr="007A1626">
        <w:tab/>
      </w:r>
      <w:r w:rsidRPr="007A1626">
        <w:tab/>
        <w:t>WILLIAM M. CONLEY</w:t>
      </w:r>
    </w:p>
    <w:p w14:paraId="717699B3" w14:textId="77777777" w:rsidR="008707B1" w:rsidRPr="008707B1" w:rsidRDefault="008707B1" w:rsidP="008707B1">
      <w:pPr>
        <w:pStyle w:val="Single"/>
      </w:pPr>
      <w:r>
        <w:tab/>
      </w:r>
      <w:r>
        <w:tab/>
      </w:r>
      <w:r>
        <w:tab/>
      </w:r>
      <w:r>
        <w:tab/>
      </w:r>
      <w:r>
        <w:tab/>
      </w:r>
      <w:r>
        <w:tab/>
      </w:r>
      <w:r w:rsidRPr="007A1626">
        <w:t>District Judge</w:t>
      </w:r>
    </w:p>
    <w:p w14:paraId="6DF36155" w14:textId="77777777" w:rsidR="008707B1" w:rsidRPr="008707B1" w:rsidRDefault="008707B1" w:rsidP="008707B1"/>
    <w:p w14:paraId="2CE9FD14" w14:textId="77777777" w:rsidR="008707B1" w:rsidRPr="007A1626" w:rsidRDefault="008707B1" w:rsidP="008707B1">
      <w:pPr>
        <w:pStyle w:val="Heading1"/>
      </w:pPr>
    </w:p>
    <w:p w14:paraId="279EC434" w14:textId="77777777" w:rsidR="003C23D5" w:rsidRDefault="003C23D5" w:rsidP="003C23D5">
      <w:pPr>
        <w:pStyle w:val="Single"/>
      </w:pPr>
      <w:r>
        <w:t xml:space="preserve"> </w:t>
      </w:r>
    </w:p>
    <w:p w14:paraId="10D9D3DD" w14:textId="77777777" w:rsidR="003C23D5" w:rsidRPr="003C23D5" w:rsidRDefault="003C23D5" w:rsidP="003C23D5">
      <w:pPr>
        <w:pStyle w:val="SingleIndent"/>
      </w:pPr>
    </w:p>
    <w:sectPr w:rsidR="003C23D5" w:rsidRPr="003C23D5" w:rsidSect="003E5BC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48C8" w14:textId="77777777" w:rsidR="00767DDE" w:rsidRDefault="00767DDE" w:rsidP="008707B1">
      <w:r>
        <w:separator/>
      </w:r>
    </w:p>
  </w:endnote>
  <w:endnote w:type="continuationSeparator" w:id="0">
    <w:p w14:paraId="43725F31" w14:textId="77777777" w:rsidR="00767DDE" w:rsidRDefault="00767DDE" w:rsidP="0087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rus BT">
    <w:altName w:val="Arrus BT"/>
    <w:panose1 w:val="02090602060506020304"/>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792730"/>
      <w:docPartObj>
        <w:docPartGallery w:val="Page Numbers (Bottom of Page)"/>
        <w:docPartUnique/>
      </w:docPartObj>
    </w:sdtPr>
    <w:sdtEndPr>
      <w:rPr>
        <w:rFonts w:ascii="Arrus BT" w:hAnsi="Arrus BT"/>
        <w:noProof/>
      </w:rPr>
    </w:sdtEndPr>
    <w:sdtContent>
      <w:p w14:paraId="36466E09" w14:textId="77777777" w:rsidR="00767DDE" w:rsidRPr="003E5BC2" w:rsidRDefault="00767DDE">
        <w:pPr>
          <w:pStyle w:val="Footer"/>
          <w:jc w:val="center"/>
          <w:rPr>
            <w:rFonts w:ascii="Arrus BT" w:hAnsi="Arrus BT"/>
          </w:rPr>
        </w:pPr>
        <w:r w:rsidRPr="003E5BC2">
          <w:rPr>
            <w:rFonts w:ascii="Arrus BT" w:hAnsi="Arrus BT"/>
          </w:rPr>
          <w:fldChar w:fldCharType="begin"/>
        </w:r>
        <w:r w:rsidRPr="003E5BC2">
          <w:rPr>
            <w:rFonts w:ascii="Arrus BT" w:hAnsi="Arrus BT"/>
          </w:rPr>
          <w:instrText xml:space="preserve"> PAGE   \* MERGEFORMAT </w:instrText>
        </w:r>
        <w:r w:rsidRPr="003E5BC2">
          <w:rPr>
            <w:rFonts w:ascii="Arrus BT" w:hAnsi="Arrus BT"/>
          </w:rPr>
          <w:fldChar w:fldCharType="separate"/>
        </w:r>
        <w:r>
          <w:rPr>
            <w:rFonts w:ascii="Arrus BT" w:hAnsi="Arrus BT"/>
            <w:noProof/>
          </w:rPr>
          <w:t>2</w:t>
        </w:r>
        <w:r w:rsidRPr="003E5BC2">
          <w:rPr>
            <w:rFonts w:ascii="Arrus BT" w:hAnsi="Arrus BT"/>
            <w:noProof/>
          </w:rPr>
          <w:fldChar w:fldCharType="end"/>
        </w:r>
      </w:p>
    </w:sdtContent>
  </w:sdt>
  <w:p w14:paraId="46F827AF" w14:textId="77777777" w:rsidR="00767DDE" w:rsidRDefault="00767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F211" w14:textId="77777777" w:rsidR="00767DDE" w:rsidRDefault="00767DDE" w:rsidP="008707B1">
      <w:r>
        <w:separator/>
      </w:r>
    </w:p>
  </w:footnote>
  <w:footnote w:type="continuationSeparator" w:id="0">
    <w:p w14:paraId="25BDFB96" w14:textId="77777777" w:rsidR="00767DDE" w:rsidRDefault="00767DDE" w:rsidP="008707B1">
      <w:r>
        <w:continuationSeparator/>
      </w:r>
    </w:p>
  </w:footnote>
  <w:footnote w:id="1">
    <w:p w14:paraId="0C8DF54C" w14:textId="77777777" w:rsidR="006F4D99" w:rsidRDefault="006F4D99" w:rsidP="006F4D99">
      <w:pPr>
        <w:pStyle w:val="FootnoteText"/>
      </w:pPr>
      <w:r>
        <w:rPr>
          <w:rStyle w:val="FootnoteReference"/>
        </w:rPr>
        <w:footnoteRef/>
      </w:r>
      <w:r>
        <w:t xml:space="preserve"> Wis. Stat. § 809.23 prohibition of citing unpublished opinion does not apply to this court</w:t>
      </w:r>
      <w:r w:rsidR="008C517B">
        <w:t>, but is a consideration as to how much weight it should be given</w:t>
      </w:r>
      <w:r>
        <w:t>.</w:t>
      </w:r>
    </w:p>
  </w:footnote>
  <w:footnote w:id="2">
    <w:p w14:paraId="3D08268C" w14:textId="77777777" w:rsidR="008C517B" w:rsidRDefault="008C517B" w:rsidP="008C517B">
      <w:pPr>
        <w:pStyle w:val="FootnoteText"/>
        <w:jc w:val="both"/>
      </w:pPr>
      <w:r>
        <w:rPr>
          <w:rStyle w:val="FootnoteReference"/>
        </w:rPr>
        <w:footnoteRef/>
      </w:r>
      <w:r>
        <w:t xml:space="preserve"> Defendant also alludes to Vucicevic’s lacking expertise to explain his own business records, but that argument is even more baseless as it falls squarely under Rule 701.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FEBF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8035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A8D9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A20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CF6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1A08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7EEC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621E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4A5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A30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A7AEB"/>
    <w:multiLevelType w:val="hybridMultilevel"/>
    <w:tmpl w:val="D90E89C0"/>
    <w:lvl w:ilvl="0" w:tplc="421A7418">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A382E"/>
    <w:multiLevelType w:val="hybridMultilevel"/>
    <w:tmpl w:val="DC844EC0"/>
    <w:lvl w:ilvl="0" w:tplc="F372DCF4">
      <w:start w:val="1"/>
      <w:numFmt w:val="decimal"/>
      <w:pStyle w:val="Heading7"/>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C039F"/>
    <w:multiLevelType w:val="hybridMultilevel"/>
    <w:tmpl w:val="B30430D4"/>
    <w:lvl w:ilvl="0" w:tplc="6F3CBAE0">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7600E"/>
    <w:multiLevelType w:val="hybridMultilevel"/>
    <w:tmpl w:val="5F8E2376"/>
    <w:lvl w:ilvl="0" w:tplc="F38601E0">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02C6E"/>
    <w:multiLevelType w:val="hybridMultilevel"/>
    <w:tmpl w:val="8DC8CB94"/>
    <w:lvl w:ilvl="0" w:tplc="EBEE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52689A"/>
    <w:multiLevelType w:val="hybridMultilevel"/>
    <w:tmpl w:val="5748F9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3400F7"/>
    <w:multiLevelType w:val="hybridMultilevel"/>
    <w:tmpl w:val="A6AA3EB2"/>
    <w:lvl w:ilvl="0" w:tplc="68CA95F0">
      <w:start w:val="1"/>
      <w:numFmt w:val="lowerLetter"/>
      <w:pStyle w:val="Heading5"/>
      <w:lvlText w:val="%1."/>
      <w:lvlJc w:val="left"/>
      <w:pPr>
        <w:ind w:left="1080"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77E13710"/>
    <w:multiLevelType w:val="hybridMultilevel"/>
    <w:tmpl w:val="405A51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9C3AAA"/>
    <w:multiLevelType w:val="hybridMultilevel"/>
    <w:tmpl w:val="A62C894E"/>
    <w:lvl w:ilvl="0" w:tplc="852EB0E0">
      <w:start w:val="1"/>
      <w:numFmt w:val="bullet"/>
      <w:pStyle w:val="Heading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lvlOverride w:ilvl="0">
      <w:startOverride w:val="1"/>
    </w:lvlOverride>
  </w:num>
  <w:num w:numId="18">
    <w:abstractNumId w:val="12"/>
    <w:lvlOverride w:ilvl="0">
      <w:startOverride w:val="1"/>
    </w:lvlOverride>
  </w:num>
  <w:num w:numId="19">
    <w:abstractNumId w:val="14"/>
  </w:num>
  <w:num w:numId="20">
    <w:abstractNumId w:val="15"/>
  </w:num>
  <w:num w:numId="21">
    <w:abstractNumId w:val="12"/>
    <w:lvlOverride w:ilvl="0">
      <w:startOverride w:val="1"/>
    </w:lvlOverride>
  </w:num>
  <w:num w:numId="22">
    <w:abstractNumId w:val="11"/>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8E"/>
    <w:rsid w:val="00005675"/>
    <w:rsid w:val="00051C1B"/>
    <w:rsid w:val="0007502B"/>
    <w:rsid w:val="000934CC"/>
    <w:rsid w:val="000A48FF"/>
    <w:rsid w:val="000A6312"/>
    <w:rsid w:val="000D738F"/>
    <w:rsid w:val="000E1205"/>
    <w:rsid w:val="00120D18"/>
    <w:rsid w:val="0015242F"/>
    <w:rsid w:val="00152B92"/>
    <w:rsid w:val="001621CB"/>
    <w:rsid w:val="001711A7"/>
    <w:rsid w:val="00174767"/>
    <w:rsid w:val="001900D5"/>
    <w:rsid w:val="001D5435"/>
    <w:rsid w:val="00226E5D"/>
    <w:rsid w:val="00252C5D"/>
    <w:rsid w:val="00263CB4"/>
    <w:rsid w:val="002A49E4"/>
    <w:rsid w:val="002C7EB2"/>
    <w:rsid w:val="003C23D5"/>
    <w:rsid w:val="003E5BC2"/>
    <w:rsid w:val="003F77C2"/>
    <w:rsid w:val="00445080"/>
    <w:rsid w:val="00451909"/>
    <w:rsid w:val="00453C00"/>
    <w:rsid w:val="0049176A"/>
    <w:rsid w:val="00492290"/>
    <w:rsid w:val="00492434"/>
    <w:rsid w:val="00494C57"/>
    <w:rsid w:val="00496805"/>
    <w:rsid w:val="004A05B2"/>
    <w:rsid w:val="004B3258"/>
    <w:rsid w:val="004D0E99"/>
    <w:rsid w:val="004D29AB"/>
    <w:rsid w:val="005244CA"/>
    <w:rsid w:val="0053280B"/>
    <w:rsid w:val="005344E1"/>
    <w:rsid w:val="00546BD4"/>
    <w:rsid w:val="00565C06"/>
    <w:rsid w:val="00570148"/>
    <w:rsid w:val="00575609"/>
    <w:rsid w:val="00592A6C"/>
    <w:rsid w:val="0064008C"/>
    <w:rsid w:val="0065491A"/>
    <w:rsid w:val="00660204"/>
    <w:rsid w:val="00670181"/>
    <w:rsid w:val="00677050"/>
    <w:rsid w:val="006A17E1"/>
    <w:rsid w:val="006D3FC7"/>
    <w:rsid w:val="006F4D99"/>
    <w:rsid w:val="00734AC6"/>
    <w:rsid w:val="00744017"/>
    <w:rsid w:val="00755E0F"/>
    <w:rsid w:val="00767DDE"/>
    <w:rsid w:val="0080099E"/>
    <w:rsid w:val="00820762"/>
    <w:rsid w:val="008513A3"/>
    <w:rsid w:val="008707B1"/>
    <w:rsid w:val="00887686"/>
    <w:rsid w:val="008C517B"/>
    <w:rsid w:val="008E3577"/>
    <w:rsid w:val="009003E8"/>
    <w:rsid w:val="00900E0D"/>
    <w:rsid w:val="00917460"/>
    <w:rsid w:val="0094562E"/>
    <w:rsid w:val="009721EE"/>
    <w:rsid w:val="00980176"/>
    <w:rsid w:val="0098244E"/>
    <w:rsid w:val="009B651D"/>
    <w:rsid w:val="009C7EC4"/>
    <w:rsid w:val="009E015B"/>
    <w:rsid w:val="009E0C0C"/>
    <w:rsid w:val="009E25E9"/>
    <w:rsid w:val="00A13713"/>
    <w:rsid w:val="00A23262"/>
    <w:rsid w:val="00A304A7"/>
    <w:rsid w:val="00A33F57"/>
    <w:rsid w:val="00A4280D"/>
    <w:rsid w:val="00A43404"/>
    <w:rsid w:val="00AB78C8"/>
    <w:rsid w:val="00AD3D90"/>
    <w:rsid w:val="00AF2428"/>
    <w:rsid w:val="00B90E9D"/>
    <w:rsid w:val="00BB18DC"/>
    <w:rsid w:val="00BD0BEC"/>
    <w:rsid w:val="00BD765F"/>
    <w:rsid w:val="00C404C5"/>
    <w:rsid w:val="00C448A5"/>
    <w:rsid w:val="00C45560"/>
    <w:rsid w:val="00C57EC0"/>
    <w:rsid w:val="00C80A55"/>
    <w:rsid w:val="00C9610A"/>
    <w:rsid w:val="00CC0104"/>
    <w:rsid w:val="00CC5111"/>
    <w:rsid w:val="00CE047C"/>
    <w:rsid w:val="00D00195"/>
    <w:rsid w:val="00D606B4"/>
    <w:rsid w:val="00D95423"/>
    <w:rsid w:val="00DA0959"/>
    <w:rsid w:val="00DA42A3"/>
    <w:rsid w:val="00DA4955"/>
    <w:rsid w:val="00DD0B7A"/>
    <w:rsid w:val="00DE0289"/>
    <w:rsid w:val="00DE1D8E"/>
    <w:rsid w:val="00DE3468"/>
    <w:rsid w:val="00DF3BF6"/>
    <w:rsid w:val="00EB1531"/>
    <w:rsid w:val="00EF24C6"/>
    <w:rsid w:val="00F11CA9"/>
    <w:rsid w:val="00F20226"/>
    <w:rsid w:val="00F20438"/>
    <w:rsid w:val="00F3509B"/>
    <w:rsid w:val="00F5751F"/>
    <w:rsid w:val="00F66A9C"/>
    <w:rsid w:val="00F8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5B50"/>
  <w15:chartTrackingRefBased/>
  <w15:docId w15:val="{8AC3CED5-5F2F-4926-881B-884B20C5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07B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707B1"/>
    <w:pPr>
      <w:keepNext/>
      <w:keepLines/>
      <w:widowControl/>
      <w:autoSpaceDE/>
      <w:autoSpaceDN/>
      <w:adjustRightInd/>
      <w:spacing w:before="360" w:after="240"/>
      <w:jc w:val="center"/>
      <w:outlineLvl w:val="0"/>
    </w:pPr>
    <w:rPr>
      <w:rFonts w:ascii="Arrus BT" w:eastAsiaTheme="majorEastAsia" w:hAnsi="Arrus BT" w:cstheme="majorBidi"/>
      <w:caps/>
      <w:sz w:val="23"/>
      <w:szCs w:val="32"/>
    </w:rPr>
  </w:style>
  <w:style w:type="paragraph" w:styleId="Heading2">
    <w:name w:val="heading 2"/>
    <w:basedOn w:val="Normal"/>
    <w:next w:val="Normal"/>
    <w:link w:val="Heading2Char"/>
    <w:uiPriority w:val="9"/>
    <w:unhideWhenUsed/>
    <w:qFormat/>
    <w:rsid w:val="009E0C0C"/>
    <w:pPr>
      <w:keepNext/>
      <w:keepLines/>
      <w:numPr>
        <w:numId w:val="1"/>
      </w:numPr>
      <w:spacing w:before="360" w:after="240"/>
      <w:outlineLvl w:val="1"/>
    </w:pPr>
    <w:rPr>
      <w:rFonts w:ascii="Arrus BT" w:eastAsiaTheme="majorEastAsia" w:hAnsi="Arrus BT" w:cstheme="majorBidi"/>
      <w:b/>
      <w:sz w:val="23"/>
      <w:szCs w:val="26"/>
    </w:rPr>
  </w:style>
  <w:style w:type="paragraph" w:styleId="Heading3">
    <w:name w:val="heading 3"/>
    <w:basedOn w:val="Normal"/>
    <w:next w:val="Normal"/>
    <w:link w:val="Heading3Char"/>
    <w:uiPriority w:val="9"/>
    <w:unhideWhenUsed/>
    <w:qFormat/>
    <w:rsid w:val="009E0C0C"/>
    <w:pPr>
      <w:keepNext/>
      <w:keepLines/>
      <w:numPr>
        <w:numId w:val="2"/>
      </w:numPr>
      <w:spacing w:before="360" w:after="240"/>
      <w:outlineLvl w:val="2"/>
    </w:pPr>
    <w:rPr>
      <w:rFonts w:ascii="Arrus BT" w:eastAsiaTheme="majorEastAsia" w:hAnsi="Arrus BT" w:cstheme="majorBidi"/>
      <w:b/>
      <w:sz w:val="23"/>
    </w:rPr>
  </w:style>
  <w:style w:type="paragraph" w:styleId="Heading4">
    <w:name w:val="heading 4"/>
    <w:basedOn w:val="Normal"/>
    <w:next w:val="Normal"/>
    <w:link w:val="Heading4Char"/>
    <w:uiPriority w:val="9"/>
    <w:unhideWhenUsed/>
    <w:qFormat/>
    <w:rsid w:val="009E0C0C"/>
    <w:pPr>
      <w:keepNext/>
      <w:keepLines/>
      <w:numPr>
        <w:numId w:val="3"/>
      </w:numPr>
      <w:spacing w:before="240" w:after="240"/>
      <w:ind w:left="1080"/>
      <w:outlineLvl w:val="3"/>
    </w:pPr>
    <w:rPr>
      <w:rFonts w:ascii="Arrus BT" w:eastAsiaTheme="majorEastAsia" w:hAnsi="Arrus BT" w:cstheme="majorBidi"/>
      <w:b/>
      <w:iCs/>
      <w:sz w:val="23"/>
    </w:rPr>
  </w:style>
  <w:style w:type="paragraph" w:styleId="Heading5">
    <w:name w:val="heading 5"/>
    <w:basedOn w:val="Normal"/>
    <w:next w:val="Normal"/>
    <w:link w:val="Heading5Char"/>
    <w:uiPriority w:val="9"/>
    <w:unhideWhenUsed/>
    <w:qFormat/>
    <w:rsid w:val="00AD3D90"/>
    <w:pPr>
      <w:keepNext/>
      <w:keepLines/>
      <w:numPr>
        <w:numId w:val="4"/>
      </w:numPr>
      <w:spacing w:before="240" w:after="240"/>
      <w:ind w:left="1440"/>
      <w:outlineLvl w:val="4"/>
    </w:pPr>
    <w:rPr>
      <w:rFonts w:ascii="Arrus BT" w:eastAsiaTheme="majorEastAsia" w:hAnsi="Arrus BT" w:cstheme="majorBidi"/>
      <w:b/>
      <w:sz w:val="23"/>
    </w:rPr>
  </w:style>
  <w:style w:type="paragraph" w:styleId="Heading6">
    <w:name w:val="heading 6"/>
    <w:basedOn w:val="Normal"/>
    <w:next w:val="Normal"/>
    <w:link w:val="Heading6Char"/>
    <w:uiPriority w:val="9"/>
    <w:unhideWhenUsed/>
    <w:qFormat/>
    <w:rsid w:val="00DE0289"/>
    <w:pPr>
      <w:keepNext/>
      <w:keepLines/>
      <w:numPr>
        <w:numId w:val="5"/>
      </w:numPr>
      <w:spacing w:before="240" w:after="240"/>
      <w:ind w:left="1080"/>
      <w:outlineLvl w:val="5"/>
    </w:pPr>
    <w:rPr>
      <w:rFonts w:ascii="Arrus BT" w:eastAsiaTheme="majorEastAsia" w:hAnsi="Arrus BT" w:cstheme="majorBidi"/>
      <w:sz w:val="23"/>
    </w:rPr>
  </w:style>
  <w:style w:type="paragraph" w:styleId="Heading7">
    <w:name w:val="heading 7"/>
    <w:basedOn w:val="Normal"/>
    <w:next w:val="Normal"/>
    <w:link w:val="Heading7Char"/>
    <w:uiPriority w:val="9"/>
    <w:unhideWhenUsed/>
    <w:qFormat/>
    <w:rsid w:val="008707B1"/>
    <w:pPr>
      <w:keepNext/>
      <w:keepLines/>
      <w:widowControl/>
      <w:numPr>
        <w:numId w:val="16"/>
      </w:numPr>
      <w:autoSpaceDE/>
      <w:autoSpaceDN/>
      <w:adjustRightInd/>
      <w:spacing w:after="240"/>
      <w:outlineLvl w:val="6"/>
    </w:pPr>
    <w:rPr>
      <w:rFonts w:ascii="Arrus BT" w:eastAsiaTheme="majorEastAsia" w:hAnsi="Arrus BT" w:cstheme="majorBid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7B1"/>
    <w:rPr>
      <w:rFonts w:ascii="Arrus BT" w:eastAsiaTheme="majorEastAsia" w:hAnsi="Arrus BT" w:cstheme="majorBidi"/>
      <w:caps/>
      <w:sz w:val="23"/>
      <w:szCs w:val="32"/>
    </w:rPr>
  </w:style>
  <w:style w:type="character" w:customStyle="1" w:styleId="Heading2Char">
    <w:name w:val="Heading 2 Char"/>
    <w:basedOn w:val="DefaultParagraphFont"/>
    <w:link w:val="Heading2"/>
    <w:uiPriority w:val="9"/>
    <w:rsid w:val="009E0C0C"/>
    <w:rPr>
      <w:rFonts w:ascii="Arrus BT" w:eastAsiaTheme="majorEastAsia" w:hAnsi="Arrus BT" w:cstheme="majorBidi"/>
      <w:b/>
      <w:sz w:val="23"/>
      <w:szCs w:val="26"/>
    </w:rPr>
  </w:style>
  <w:style w:type="character" w:customStyle="1" w:styleId="Heading3Char">
    <w:name w:val="Heading 3 Char"/>
    <w:basedOn w:val="DefaultParagraphFont"/>
    <w:link w:val="Heading3"/>
    <w:uiPriority w:val="9"/>
    <w:rsid w:val="009E0C0C"/>
    <w:rPr>
      <w:rFonts w:ascii="Arrus BT" w:eastAsiaTheme="majorEastAsia" w:hAnsi="Arrus BT" w:cstheme="majorBidi"/>
      <w:b/>
      <w:sz w:val="23"/>
      <w:szCs w:val="24"/>
    </w:rPr>
  </w:style>
  <w:style w:type="character" w:customStyle="1" w:styleId="Heading4Char">
    <w:name w:val="Heading 4 Char"/>
    <w:basedOn w:val="DefaultParagraphFont"/>
    <w:link w:val="Heading4"/>
    <w:uiPriority w:val="9"/>
    <w:rsid w:val="009E0C0C"/>
    <w:rPr>
      <w:rFonts w:ascii="Arrus BT" w:eastAsiaTheme="majorEastAsia" w:hAnsi="Arrus BT" w:cstheme="majorBidi"/>
      <w:b/>
      <w:iCs/>
      <w:sz w:val="23"/>
    </w:rPr>
  </w:style>
  <w:style w:type="character" w:customStyle="1" w:styleId="Heading5Char">
    <w:name w:val="Heading 5 Char"/>
    <w:basedOn w:val="DefaultParagraphFont"/>
    <w:link w:val="Heading5"/>
    <w:uiPriority w:val="9"/>
    <w:rsid w:val="00AD3D90"/>
    <w:rPr>
      <w:rFonts w:ascii="Arrus BT" w:eastAsiaTheme="majorEastAsia" w:hAnsi="Arrus BT" w:cstheme="majorBidi"/>
      <w:b/>
      <w:sz w:val="23"/>
    </w:rPr>
  </w:style>
  <w:style w:type="character" w:customStyle="1" w:styleId="Heading6Char">
    <w:name w:val="Heading 6 Char"/>
    <w:basedOn w:val="DefaultParagraphFont"/>
    <w:link w:val="Heading6"/>
    <w:uiPriority w:val="9"/>
    <w:rsid w:val="00DE0289"/>
    <w:rPr>
      <w:rFonts w:ascii="Arrus BT" w:eastAsiaTheme="majorEastAsia" w:hAnsi="Arrus BT" w:cstheme="majorBidi"/>
      <w:sz w:val="23"/>
      <w:szCs w:val="24"/>
    </w:rPr>
  </w:style>
  <w:style w:type="paragraph" w:styleId="ListParagraph">
    <w:name w:val="List Paragraph"/>
    <w:basedOn w:val="Normal"/>
    <w:uiPriority w:val="34"/>
    <w:rsid w:val="003C23D5"/>
    <w:pPr>
      <w:ind w:left="720"/>
      <w:contextualSpacing/>
    </w:pPr>
  </w:style>
  <w:style w:type="paragraph" w:customStyle="1" w:styleId="Double">
    <w:name w:val="Double"/>
    <w:basedOn w:val="ListParagraph"/>
    <w:qFormat/>
    <w:rsid w:val="000A6312"/>
    <w:pPr>
      <w:spacing w:line="480" w:lineRule="auto"/>
      <w:ind w:left="0"/>
      <w:jc w:val="both"/>
    </w:pPr>
    <w:rPr>
      <w:rFonts w:ascii="Arrus BT" w:hAnsi="Arrus BT"/>
      <w:sz w:val="23"/>
    </w:rPr>
  </w:style>
  <w:style w:type="paragraph" w:customStyle="1" w:styleId="DoubleIndent">
    <w:name w:val="Double Indent"/>
    <w:basedOn w:val="Double"/>
    <w:qFormat/>
    <w:rsid w:val="008707B1"/>
    <w:pPr>
      <w:ind w:firstLine="720"/>
    </w:pPr>
  </w:style>
  <w:style w:type="paragraph" w:customStyle="1" w:styleId="BlockQuote">
    <w:name w:val="Block Quote"/>
    <w:basedOn w:val="DoubleIndent"/>
    <w:qFormat/>
    <w:rsid w:val="008707B1"/>
    <w:pPr>
      <w:spacing w:after="240" w:line="240" w:lineRule="auto"/>
      <w:ind w:left="1440" w:right="1440" w:firstLine="0"/>
    </w:pPr>
  </w:style>
  <w:style w:type="paragraph" w:customStyle="1" w:styleId="Single">
    <w:name w:val="Single"/>
    <w:basedOn w:val="BlockQuote"/>
    <w:qFormat/>
    <w:rsid w:val="003C23D5"/>
    <w:pPr>
      <w:ind w:left="0" w:right="0"/>
    </w:pPr>
  </w:style>
  <w:style w:type="paragraph" w:customStyle="1" w:styleId="SingleIndent">
    <w:name w:val="Single Indent"/>
    <w:basedOn w:val="Single"/>
    <w:qFormat/>
    <w:rsid w:val="003C23D5"/>
    <w:pPr>
      <w:ind w:firstLine="720"/>
    </w:pPr>
  </w:style>
  <w:style w:type="character" w:customStyle="1" w:styleId="Heading7Char">
    <w:name w:val="Heading 7 Char"/>
    <w:basedOn w:val="DefaultParagraphFont"/>
    <w:link w:val="Heading7"/>
    <w:uiPriority w:val="9"/>
    <w:rsid w:val="008707B1"/>
    <w:rPr>
      <w:rFonts w:ascii="Arrus BT" w:eastAsiaTheme="majorEastAsia" w:hAnsi="Arrus BT" w:cstheme="majorBidi"/>
      <w:iCs/>
      <w:sz w:val="23"/>
    </w:rPr>
  </w:style>
  <w:style w:type="paragraph" w:styleId="FootnoteText">
    <w:name w:val="footnote text"/>
    <w:basedOn w:val="Normal"/>
    <w:link w:val="FootnoteTextChar"/>
    <w:uiPriority w:val="99"/>
    <w:unhideWhenUsed/>
    <w:rsid w:val="00A13713"/>
    <w:pPr>
      <w:keepLines/>
    </w:pPr>
    <w:rPr>
      <w:rFonts w:ascii="Arrus BT" w:hAnsi="Arrus BT"/>
      <w:sz w:val="21"/>
      <w:szCs w:val="20"/>
    </w:rPr>
  </w:style>
  <w:style w:type="character" w:customStyle="1" w:styleId="FootnoteTextChar">
    <w:name w:val="Footnote Text Char"/>
    <w:basedOn w:val="DefaultParagraphFont"/>
    <w:link w:val="FootnoteText"/>
    <w:uiPriority w:val="99"/>
    <w:rsid w:val="00A13713"/>
    <w:rPr>
      <w:rFonts w:ascii="Arrus BT" w:eastAsiaTheme="minorEastAsia" w:hAnsi="Arrus BT" w:cs="Times New Roman"/>
      <w:sz w:val="21"/>
      <w:szCs w:val="20"/>
    </w:rPr>
  </w:style>
  <w:style w:type="character" w:styleId="FootnoteReference">
    <w:name w:val="footnote reference"/>
    <w:basedOn w:val="DefaultParagraphFont"/>
    <w:uiPriority w:val="99"/>
    <w:semiHidden/>
    <w:unhideWhenUsed/>
    <w:rsid w:val="008707B1"/>
    <w:rPr>
      <w:vertAlign w:val="superscript"/>
    </w:rPr>
  </w:style>
  <w:style w:type="paragraph" w:styleId="Header">
    <w:name w:val="header"/>
    <w:basedOn w:val="Normal"/>
    <w:link w:val="HeaderChar"/>
    <w:uiPriority w:val="99"/>
    <w:unhideWhenUsed/>
    <w:rsid w:val="003E5BC2"/>
    <w:pPr>
      <w:tabs>
        <w:tab w:val="center" w:pos="4680"/>
        <w:tab w:val="right" w:pos="9360"/>
      </w:tabs>
    </w:pPr>
  </w:style>
  <w:style w:type="character" w:customStyle="1" w:styleId="HeaderChar">
    <w:name w:val="Header Char"/>
    <w:basedOn w:val="DefaultParagraphFont"/>
    <w:link w:val="Header"/>
    <w:uiPriority w:val="99"/>
    <w:rsid w:val="003E5BC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E5BC2"/>
    <w:pPr>
      <w:tabs>
        <w:tab w:val="center" w:pos="4680"/>
        <w:tab w:val="right" w:pos="9360"/>
      </w:tabs>
    </w:pPr>
  </w:style>
  <w:style w:type="character" w:customStyle="1" w:styleId="FooterChar">
    <w:name w:val="Footer Char"/>
    <w:basedOn w:val="DefaultParagraphFont"/>
    <w:link w:val="Footer"/>
    <w:uiPriority w:val="99"/>
    <w:rsid w:val="003E5BC2"/>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A4955"/>
    <w:rPr>
      <w:color w:val="0563C1" w:themeColor="hyperlink"/>
      <w:u w:val="single"/>
    </w:rPr>
  </w:style>
  <w:style w:type="character" w:styleId="UnresolvedMention">
    <w:name w:val="Unresolved Mention"/>
    <w:basedOn w:val="DefaultParagraphFont"/>
    <w:uiPriority w:val="99"/>
    <w:semiHidden/>
    <w:unhideWhenUsed/>
    <w:rsid w:val="00DA4955"/>
    <w:rPr>
      <w:color w:val="605E5C"/>
      <w:shd w:val="clear" w:color="auto" w:fill="E1DFDD"/>
    </w:rPr>
  </w:style>
  <w:style w:type="paragraph" w:styleId="BalloonText">
    <w:name w:val="Balloon Text"/>
    <w:basedOn w:val="Normal"/>
    <w:link w:val="BalloonTextChar"/>
    <w:uiPriority w:val="99"/>
    <w:semiHidden/>
    <w:unhideWhenUsed/>
    <w:rsid w:val="00575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00675">
      <w:bodyDiv w:val="1"/>
      <w:marLeft w:val="0"/>
      <w:marRight w:val="0"/>
      <w:marTop w:val="0"/>
      <w:marBottom w:val="0"/>
      <w:divBdr>
        <w:top w:val="none" w:sz="0" w:space="0" w:color="auto"/>
        <w:left w:val="none" w:sz="0" w:space="0" w:color="auto"/>
        <w:bottom w:val="none" w:sz="0" w:space="0" w:color="auto"/>
        <w:right w:val="none" w:sz="0" w:space="0" w:color="auto"/>
      </w:divBdr>
    </w:div>
    <w:div w:id="835417050">
      <w:bodyDiv w:val="1"/>
      <w:marLeft w:val="0"/>
      <w:marRight w:val="0"/>
      <w:marTop w:val="0"/>
      <w:marBottom w:val="0"/>
      <w:divBdr>
        <w:top w:val="none" w:sz="0" w:space="0" w:color="auto"/>
        <w:left w:val="none" w:sz="0" w:space="0" w:color="auto"/>
        <w:bottom w:val="none" w:sz="0" w:space="0" w:color="auto"/>
        <w:right w:val="none" w:sz="0" w:space="0" w:color="auto"/>
      </w:divBdr>
      <w:divsChild>
        <w:div w:id="1199507125">
          <w:marLeft w:val="0"/>
          <w:marRight w:val="0"/>
          <w:marTop w:val="0"/>
          <w:marBottom w:val="0"/>
          <w:divBdr>
            <w:top w:val="none" w:sz="0" w:space="0" w:color="auto"/>
            <w:left w:val="none" w:sz="0" w:space="0" w:color="auto"/>
            <w:bottom w:val="none" w:sz="0" w:space="0" w:color="auto"/>
            <w:right w:val="none" w:sz="0" w:space="0" w:color="auto"/>
          </w:divBdr>
        </w:div>
        <w:div w:id="930744624">
          <w:marLeft w:val="0"/>
          <w:marRight w:val="0"/>
          <w:marTop w:val="240"/>
          <w:marBottom w:val="0"/>
          <w:divBdr>
            <w:top w:val="none" w:sz="0" w:space="0" w:color="auto"/>
            <w:left w:val="none" w:sz="0" w:space="0" w:color="auto"/>
            <w:bottom w:val="none" w:sz="0" w:space="0" w:color="auto"/>
            <w:right w:val="none" w:sz="0" w:space="0" w:color="auto"/>
          </w:divBdr>
          <w:divsChild>
            <w:div w:id="1328022523">
              <w:marLeft w:val="0"/>
              <w:marRight w:val="0"/>
              <w:marTop w:val="0"/>
              <w:marBottom w:val="0"/>
              <w:divBdr>
                <w:top w:val="none" w:sz="0" w:space="0" w:color="auto"/>
                <w:left w:val="none" w:sz="0" w:space="0" w:color="auto"/>
                <w:bottom w:val="none" w:sz="0" w:space="0" w:color="auto"/>
                <w:right w:val="none" w:sz="0" w:space="0" w:color="auto"/>
              </w:divBdr>
            </w:div>
          </w:divsChild>
        </w:div>
        <w:div w:id="1356881467">
          <w:marLeft w:val="0"/>
          <w:marRight w:val="0"/>
          <w:marTop w:val="240"/>
          <w:marBottom w:val="0"/>
          <w:divBdr>
            <w:top w:val="none" w:sz="0" w:space="0" w:color="auto"/>
            <w:left w:val="none" w:sz="0" w:space="0" w:color="auto"/>
            <w:bottom w:val="none" w:sz="0" w:space="0" w:color="auto"/>
            <w:right w:val="none" w:sz="0" w:space="0" w:color="auto"/>
          </w:divBdr>
          <w:divsChild>
            <w:div w:id="20000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011">
      <w:bodyDiv w:val="1"/>
      <w:marLeft w:val="0"/>
      <w:marRight w:val="0"/>
      <w:marTop w:val="0"/>
      <w:marBottom w:val="0"/>
      <w:divBdr>
        <w:top w:val="none" w:sz="0" w:space="0" w:color="auto"/>
        <w:left w:val="none" w:sz="0" w:space="0" w:color="auto"/>
        <w:bottom w:val="none" w:sz="0" w:space="0" w:color="auto"/>
        <w:right w:val="none" w:sz="0" w:space="0" w:color="auto"/>
      </w:divBdr>
    </w:div>
    <w:div w:id="1427536026">
      <w:bodyDiv w:val="1"/>
      <w:marLeft w:val="0"/>
      <w:marRight w:val="0"/>
      <w:marTop w:val="0"/>
      <w:marBottom w:val="0"/>
      <w:divBdr>
        <w:top w:val="none" w:sz="0" w:space="0" w:color="auto"/>
        <w:left w:val="none" w:sz="0" w:space="0" w:color="auto"/>
        <w:bottom w:val="none" w:sz="0" w:space="0" w:color="auto"/>
        <w:right w:val="none" w:sz="0" w:space="0" w:color="auto"/>
      </w:divBdr>
    </w:div>
    <w:div w:id="1510172704">
      <w:bodyDiv w:val="1"/>
      <w:marLeft w:val="0"/>
      <w:marRight w:val="0"/>
      <w:marTop w:val="0"/>
      <w:marBottom w:val="0"/>
      <w:divBdr>
        <w:top w:val="none" w:sz="0" w:space="0" w:color="auto"/>
        <w:left w:val="none" w:sz="0" w:space="0" w:color="auto"/>
        <w:bottom w:val="none" w:sz="0" w:space="0" w:color="auto"/>
        <w:right w:val="none" w:sz="0" w:space="0" w:color="auto"/>
      </w:divBdr>
    </w:div>
    <w:div w:id="1598175548">
      <w:bodyDiv w:val="1"/>
      <w:marLeft w:val="0"/>
      <w:marRight w:val="0"/>
      <w:marTop w:val="0"/>
      <w:marBottom w:val="0"/>
      <w:divBdr>
        <w:top w:val="none" w:sz="0" w:space="0" w:color="auto"/>
        <w:left w:val="none" w:sz="0" w:space="0" w:color="auto"/>
        <w:bottom w:val="none" w:sz="0" w:space="0" w:color="auto"/>
        <w:right w:val="none" w:sz="0" w:space="0" w:color="auto"/>
      </w:divBdr>
    </w:div>
    <w:div w:id="19271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8896-4B40-4D58-8470-33159384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649D3B02.dotm</Template>
  <TotalTime>0</TotalTime>
  <Pages>10</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WIW</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Grossi Wilde</dc:creator>
  <cp:keywords/>
  <dc:description/>
  <cp:lastModifiedBy>Melissa Hardin</cp:lastModifiedBy>
  <cp:revision>2</cp:revision>
  <cp:lastPrinted>2019-12-16T21:08:00Z</cp:lastPrinted>
  <dcterms:created xsi:type="dcterms:W3CDTF">2019-12-16T21:09:00Z</dcterms:created>
  <dcterms:modified xsi:type="dcterms:W3CDTF">2019-12-16T21:09:00Z</dcterms:modified>
</cp:coreProperties>
</file>